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DB" w:rsidRPr="004C2943" w:rsidRDefault="00E528B7">
      <w:pPr>
        <w:widowControl/>
        <w:spacing w:line="585" w:lineRule="atLeas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 w:rsidRPr="004C2943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关于</w:t>
      </w:r>
      <w:r w:rsidR="00F824F8" w:rsidRPr="004C2943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开展</w:t>
      </w:r>
      <w:r w:rsidRPr="004C2943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2023年资产报废处置工作的通知</w:t>
      </w:r>
    </w:p>
    <w:p w:rsidR="00E203DB" w:rsidRPr="004C2943" w:rsidRDefault="00E203DB">
      <w:pPr>
        <w:widowControl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48189B" w:rsidRPr="004C2943" w:rsidRDefault="0048189B" w:rsidP="0048189B">
      <w:pPr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各单位、各部门：</w:t>
      </w:r>
      <w:r w:rsidRPr="004C2943">
        <w:rPr>
          <w:rFonts w:ascii="Calibri" w:eastAsia="仿宋" w:hAnsi="Calibri" w:cs="Calibri"/>
          <w:sz w:val="32"/>
          <w:szCs w:val="32"/>
        </w:rPr>
        <w:t> 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为加强学校资产管理，</w:t>
      </w:r>
      <w:r w:rsidR="00A615E0" w:rsidRPr="004C2943">
        <w:rPr>
          <w:rFonts w:ascii="仿宋" w:eastAsia="仿宋" w:hAnsi="仿宋" w:cs="仿宋" w:hint="eastAsia"/>
          <w:sz w:val="32"/>
          <w:szCs w:val="32"/>
        </w:rPr>
        <w:t>防止国有资产流失，</w:t>
      </w:r>
      <w:r w:rsidRPr="004C2943">
        <w:rPr>
          <w:rFonts w:ascii="仿宋" w:eastAsia="仿宋" w:hAnsi="仿宋" w:cs="仿宋" w:hint="eastAsia"/>
          <w:sz w:val="32"/>
          <w:szCs w:val="32"/>
        </w:rPr>
        <w:t>推动</w:t>
      </w:r>
      <w:r w:rsidR="00EF2066" w:rsidRPr="004C2943">
        <w:rPr>
          <w:rFonts w:ascii="仿宋" w:eastAsia="仿宋" w:hAnsi="仿宋" w:cs="仿宋" w:hint="eastAsia"/>
          <w:sz w:val="32"/>
          <w:szCs w:val="32"/>
        </w:rPr>
        <w:t>资产</w:t>
      </w:r>
      <w:r w:rsidRPr="004C2943">
        <w:rPr>
          <w:rFonts w:ascii="仿宋" w:eastAsia="仿宋" w:hAnsi="仿宋" w:cs="仿宋" w:hint="eastAsia"/>
          <w:sz w:val="32"/>
          <w:szCs w:val="32"/>
        </w:rPr>
        <w:t>报废处置工作常态化，根据《行政事业性国有资产管理条例》（国务院令第7</w:t>
      </w:r>
      <w:r w:rsidRPr="004C2943">
        <w:rPr>
          <w:rFonts w:ascii="仿宋" w:eastAsia="仿宋" w:hAnsi="仿宋" w:cs="仿宋"/>
          <w:sz w:val="32"/>
          <w:szCs w:val="32"/>
        </w:rPr>
        <w:t>38</w:t>
      </w:r>
      <w:r w:rsidRPr="004C2943">
        <w:rPr>
          <w:rFonts w:ascii="仿宋" w:eastAsia="仿宋" w:hAnsi="仿宋" w:cs="仿宋" w:hint="eastAsia"/>
          <w:sz w:val="32"/>
          <w:szCs w:val="32"/>
        </w:rPr>
        <w:t>号）、《吉林省省级行政事业单位国有资产处置管理办法》（吉财资〔2022〕</w:t>
      </w:r>
      <w:r w:rsidRPr="004C2943">
        <w:rPr>
          <w:rFonts w:ascii="仿宋" w:eastAsia="仿宋" w:hAnsi="仿宋" w:cs="仿宋"/>
          <w:sz w:val="32"/>
          <w:szCs w:val="32"/>
        </w:rPr>
        <w:t>1188</w:t>
      </w:r>
      <w:r w:rsidRPr="004C2943">
        <w:rPr>
          <w:rFonts w:ascii="仿宋" w:eastAsia="仿宋" w:hAnsi="仿宋" w:cs="仿宋" w:hint="eastAsia"/>
          <w:sz w:val="32"/>
          <w:szCs w:val="32"/>
        </w:rPr>
        <w:t>号）等有关规定，学校开展2023年资产报废处置工作，现将具体事项通知如下：</w:t>
      </w:r>
      <w:r w:rsidRPr="004C2943">
        <w:rPr>
          <w:rFonts w:ascii="Calibri" w:eastAsia="仿宋" w:hAnsi="Calibri" w:cs="Calibri"/>
          <w:sz w:val="32"/>
          <w:szCs w:val="32"/>
        </w:rPr>
        <w:t> 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4C2943">
        <w:rPr>
          <w:rFonts w:ascii="黑体" w:eastAsia="黑体" w:hAnsi="黑体" w:cs="仿宋" w:hint="eastAsia"/>
          <w:sz w:val="32"/>
          <w:szCs w:val="32"/>
        </w:rPr>
        <w:t>一、报废处置范围和条件</w:t>
      </w:r>
      <w:r w:rsidRPr="004C2943">
        <w:rPr>
          <w:rFonts w:ascii="Calibri" w:eastAsia="黑体" w:hAnsi="Calibri" w:cs="Calibri"/>
          <w:sz w:val="32"/>
          <w:szCs w:val="32"/>
        </w:rPr>
        <w:t> 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4C2943">
        <w:rPr>
          <w:rFonts w:ascii="楷体" w:eastAsia="楷体" w:hAnsi="楷体" w:cs="仿宋" w:hint="eastAsia"/>
          <w:sz w:val="32"/>
          <w:szCs w:val="32"/>
        </w:rPr>
        <w:t>（一）报废处置范围</w:t>
      </w:r>
      <w:r w:rsidRPr="004C2943">
        <w:rPr>
          <w:rFonts w:ascii="Calibri" w:eastAsia="楷体" w:hAnsi="Calibri" w:cs="Calibri"/>
          <w:sz w:val="32"/>
          <w:szCs w:val="32"/>
        </w:rPr>
        <w:t> 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本次报废处置资产的范围包括办公设备、家具、教学科研仪器设备、后勤设备、软件等资产。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楷体" w:eastAsia="楷体" w:hAnsi="楷体" w:cs="仿宋" w:hint="eastAsia"/>
          <w:sz w:val="32"/>
          <w:szCs w:val="32"/>
        </w:rPr>
        <w:t>（二）报废处置条件</w:t>
      </w:r>
      <w:r w:rsidRPr="004C2943">
        <w:rPr>
          <w:rFonts w:ascii="Calibri" w:eastAsia="仿宋" w:hAnsi="Calibri" w:cs="Calibri"/>
          <w:sz w:val="32"/>
          <w:szCs w:val="32"/>
        </w:rPr>
        <w:t> 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申请报废处置的资产应账物相符，并符合以下条件之一：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1</w:t>
      </w:r>
      <w:r w:rsidRPr="004C2943">
        <w:rPr>
          <w:rFonts w:ascii="仿宋" w:eastAsia="仿宋" w:hAnsi="仿宋" w:cs="仿宋"/>
          <w:sz w:val="32"/>
          <w:szCs w:val="32"/>
        </w:rPr>
        <w:t>.</w:t>
      </w:r>
      <w:r w:rsidRPr="004C2943">
        <w:rPr>
          <w:rFonts w:ascii="仿宋" w:eastAsia="仿宋" w:hAnsi="仿宋" w:cs="仿宋" w:hint="eastAsia"/>
          <w:sz w:val="32"/>
          <w:szCs w:val="32"/>
        </w:rPr>
        <w:t>因技术原因确需淘汰或者无法维修、无维修价值的；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/>
          <w:sz w:val="32"/>
          <w:szCs w:val="32"/>
        </w:rPr>
        <w:t>2.</w:t>
      </w:r>
      <w:r w:rsidRPr="004C2943">
        <w:rPr>
          <w:rFonts w:ascii="仿宋" w:eastAsia="仿宋" w:hAnsi="仿宋" w:cs="仿宋" w:hint="eastAsia"/>
          <w:sz w:val="32"/>
          <w:szCs w:val="32"/>
        </w:rPr>
        <w:t>已超过最低使用年限且无法满足现有工作需要的；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/>
          <w:sz w:val="32"/>
          <w:szCs w:val="32"/>
        </w:rPr>
        <w:t>3.</w:t>
      </w:r>
      <w:r w:rsidRPr="004C2943">
        <w:rPr>
          <w:rFonts w:ascii="仿宋" w:eastAsia="仿宋" w:hAnsi="仿宋" w:cs="仿宋" w:hint="eastAsia"/>
          <w:sz w:val="32"/>
          <w:szCs w:val="32"/>
        </w:rPr>
        <w:t>因自然灾害等不可抗力造成损毁、灭失的</w:t>
      </w:r>
      <w:r w:rsidR="008778A2" w:rsidRPr="004C2943">
        <w:rPr>
          <w:rFonts w:ascii="仿宋" w:eastAsia="仿宋" w:hAnsi="仿宋" w:cs="仿宋" w:hint="eastAsia"/>
          <w:sz w:val="32"/>
          <w:szCs w:val="32"/>
        </w:rPr>
        <w:t>；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/>
          <w:sz w:val="32"/>
          <w:szCs w:val="32"/>
        </w:rPr>
        <w:t>4</w:t>
      </w:r>
      <w:r w:rsidRPr="004C2943">
        <w:rPr>
          <w:rFonts w:ascii="仿宋" w:eastAsia="仿宋" w:hAnsi="仿宋" w:cs="仿宋" w:hint="eastAsia"/>
          <w:sz w:val="32"/>
          <w:szCs w:val="32"/>
        </w:rPr>
        <w:t>.设备陈旧，继续使用会产生危险或安全隐患的；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5</w:t>
      </w:r>
      <w:r w:rsidRPr="004C2943">
        <w:rPr>
          <w:rFonts w:ascii="仿宋" w:eastAsia="仿宋" w:hAnsi="仿宋" w:cs="仿宋"/>
          <w:sz w:val="32"/>
          <w:szCs w:val="32"/>
        </w:rPr>
        <w:t>.</w:t>
      </w:r>
      <w:r w:rsidRPr="004C2943">
        <w:rPr>
          <w:rFonts w:ascii="仿宋" w:eastAsia="仿宋" w:hAnsi="仿宋" w:cs="仿宋" w:hint="eastAsia"/>
          <w:sz w:val="32"/>
          <w:szCs w:val="32"/>
        </w:rPr>
        <w:t>虽能修复,但一次性维修费用超过原价值50％以上或者累计维修费用已接近或超过新购置价格的。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4C2943">
        <w:rPr>
          <w:rFonts w:ascii="黑体" w:eastAsia="黑体" w:hAnsi="黑体" w:cs="仿宋" w:hint="eastAsia"/>
          <w:sz w:val="32"/>
          <w:szCs w:val="32"/>
        </w:rPr>
        <w:t>二、报废处置程序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楷体" w:eastAsia="楷体" w:hAnsi="楷体" w:cs="仿宋" w:hint="eastAsia"/>
          <w:sz w:val="32"/>
          <w:szCs w:val="32"/>
        </w:rPr>
        <w:t>（一）自检自查，技术鉴定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各</w:t>
      </w:r>
      <w:r w:rsidR="00EF2066" w:rsidRPr="004C2943">
        <w:rPr>
          <w:rFonts w:ascii="仿宋" w:eastAsia="仿宋" w:hAnsi="仿宋" w:cs="仿宋" w:hint="eastAsia"/>
          <w:sz w:val="32"/>
          <w:szCs w:val="32"/>
        </w:rPr>
        <w:t>单位、各</w:t>
      </w:r>
      <w:r w:rsidRPr="004C2943">
        <w:rPr>
          <w:rFonts w:ascii="仿宋" w:eastAsia="仿宋" w:hAnsi="仿宋" w:cs="仿宋" w:hint="eastAsia"/>
          <w:sz w:val="32"/>
          <w:szCs w:val="32"/>
        </w:rPr>
        <w:t>部门对本单位</w:t>
      </w:r>
      <w:r w:rsidR="007E322C" w:rsidRPr="004C2943">
        <w:rPr>
          <w:rFonts w:ascii="仿宋" w:eastAsia="仿宋" w:hAnsi="仿宋" w:cs="仿宋" w:hint="eastAsia"/>
          <w:sz w:val="32"/>
          <w:szCs w:val="32"/>
        </w:rPr>
        <w:t>（部门）</w:t>
      </w:r>
      <w:r w:rsidRPr="004C2943">
        <w:rPr>
          <w:rFonts w:ascii="仿宋" w:eastAsia="仿宋" w:hAnsi="仿宋" w:cs="仿宋" w:hint="eastAsia"/>
          <w:sz w:val="32"/>
          <w:szCs w:val="32"/>
        </w:rPr>
        <w:t>资产进行全面自查，成立资产报废</w:t>
      </w:r>
      <w:r w:rsidR="006C777C" w:rsidRPr="004C2943">
        <w:rPr>
          <w:rFonts w:ascii="仿宋" w:eastAsia="仿宋" w:hAnsi="仿宋" w:cs="仿宋" w:hint="eastAsia"/>
          <w:sz w:val="32"/>
          <w:szCs w:val="32"/>
        </w:rPr>
        <w:t>处置</w:t>
      </w:r>
      <w:r w:rsidRPr="004C2943">
        <w:rPr>
          <w:rFonts w:ascii="仿宋" w:eastAsia="仿宋" w:hAnsi="仿宋" w:cs="仿宋" w:hint="eastAsia"/>
          <w:sz w:val="32"/>
          <w:szCs w:val="32"/>
        </w:rPr>
        <w:t>鉴定小组，小组成员原则上</w:t>
      </w:r>
      <w:r w:rsidR="000569E2" w:rsidRPr="004C2943">
        <w:rPr>
          <w:rFonts w:ascii="仿宋" w:eastAsia="仿宋" w:hAnsi="仿宋" w:cs="仿宋" w:hint="eastAsia"/>
          <w:sz w:val="32"/>
          <w:szCs w:val="32"/>
        </w:rPr>
        <w:t>应</w:t>
      </w:r>
      <w:r w:rsidRPr="004C2943">
        <w:rPr>
          <w:rFonts w:ascii="仿宋" w:eastAsia="仿宋" w:hAnsi="仿宋" w:cs="仿宋" w:hint="eastAsia"/>
          <w:sz w:val="32"/>
          <w:szCs w:val="32"/>
        </w:rPr>
        <w:t>为3人以上单数组成，对</w:t>
      </w:r>
      <w:r w:rsidRPr="004C2943">
        <w:rPr>
          <w:rFonts w:ascii="仿宋" w:eastAsia="仿宋" w:hAnsi="仿宋" w:cs="仿宋" w:hint="eastAsia"/>
          <w:sz w:val="32"/>
          <w:szCs w:val="32"/>
        </w:rPr>
        <w:lastRenderedPageBreak/>
        <w:t>拟报废的资产进行技术鉴定，提出鉴定意见，说明报废理由。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1</w:t>
      </w:r>
      <w:r w:rsidRPr="004C2943">
        <w:rPr>
          <w:rFonts w:ascii="仿宋" w:eastAsia="仿宋" w:hAnsi="仿宋" w:cs="仿宋"/>
          <w:sz w:val="32"/>
          <w:szCs w:val="32"/>
        </w:rPr>
        <w:t>.</w:t>
      </w:r>
      <w:r w:rsidRPr="004C2943">
        <w:rPr>
          <w:rFonts w:ascii="仿宋" w:eastAsia="仿宋" w:hAnsi="仿宋" w:cs="仿宋" w:hint="eastAsia"/>
          <w:sz w:val="32"/>
          <w:szCs w:val="32"/>
        </w:rPr>
        <w:t>办公设备、家具类资产。原则上应达到最低使用年限且无法满足现有工作需要的办公设备、家具，方可进行报废</w:t>
      </w:r>
      <w:r w:rsidR="006C777C" w:rsidRPr="004C2943">
        <w:rPr>
          <w:rFonts w:ascii="仿宋" w:eastAsia="仿宋" w:hAnsi="仿宋" w:cs="仿宋" w:hint="eastAsia"/>
          <w:sz w:val="32"/>
          <w:szCs w:val="32"/>
        </w:rPr>
        <w:t>处置</w:t>
      </w:r>
      <w:r w:rsidRPr="004C2943">
        <w:rPr>
          <w:rFonts w:ascii="仿宋" w:eastAsia="仿宋" w:hAnsi="仿宋" w:cs="仿宋" w:hint="eastAsia"/>
          <w:sz w:val="32"/>
          <w:szCs w:val="32"/>
        </w:rPr>
        <w:t>鉴定（如电脑、打印机等设备7年以上，办公桌椅、文件柜等家具15年以上）。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2.教学、科研、生活与后勤等资产。拟报废资产单价或批量（如语音室、机房、教室排桌椅、消防设备等整体报废）价值达到5万元（含）以上的，</w:t>
      </w:r>
      <w:r w:rsidR="00747034" w:rsidRPr="004C2943">
        <w:rPr>
          <w:rFonts w:ascii="仿宋" w:eastAsia="仿宋" w:hAnsi="仿宋" w:cs="仿宋" w:hint="eastAsia"/>
          <w:sz w:val="32"/>
          <w:szCs w:val="32"/>
        </w:rPr>
        <w:t>报废</w:t>
      </w:r>
      <w:r w:rsidR="006C777C" w:rsidRPr="004C2943">
        <w:rPr>
          <w:rFonts w:ascii="仿宋" w:eastAsia="仿宋" w:hAnsi="仿宋" w:cs="仿宋" w:hint="eastAsia"/>
          <w:sz w:val="32"/>
          <w:szCs w:val="32"/>
        </w:rPr>
        <w:t>处置</w:t>
      </w:r>
      <w:r w:rsidRPr="004C2943">
        <w:rPr>
          <w:rFonts w:ascii="仿宋" w:eastAsia="仿宋" w:hAnsi="仿宋" w:cs="仿宋" w:hint="eastAsia"/>
          <w:sz w:val="32"/>
          <w:szCs w:val="32"/>
        </w:rPr>
        <w:t>鉴定小组原则上应具有副高级（含）以上专业技术职务的人员组成。其中，大型贵重精密仪器设备（原值10万元以上），须逐台（件）单独进行鉴定。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/>
          <w:sz w:val="32"/>
          <w:szCs w:val="32"/>
        </w:rPr>
        <w:t>3.</w:t>
      </w:r>
      <w:r w:rsidRPr="004C2943">
        <w:rPr>
          <w:rFonts w:ascii="仿宋" w:eastAsia="仿宋" w:hAnsi="仿宋" w:cs="仿宋" w:hint="eastAsia"/>
          <w:sz w:val="32"/>
          <w:szCs w:val="32"/>
        </w:rPr>
        <w:t>软件类资产。报废鉴定时，须注明报废软件具体名称或用途，并明确报废软件具体原因（如：1.版本过低无法升级2.系统升级无法使用3.无法满足工作需要等）。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4C2943">
        <w:rPr>
          <w:rFonts w:ascii="楷体" w:eastAsia="楷体" w:hAnsi="楷体" w:cs="仿宋" w:hint="eastAsia"/>
          <w:sz w:val="32"/>
          <w:szCs w:val="32"/>
        </w:rPr>
        <w:t>（二）实物盘点，集中存放</w:t>
      </w:r>
    </w:p>
    <w:p w:rsidR="0048189B" w:rsidRPr="004C2943" w:rsidRDefault="00EF2066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各单位、</w:t>
      </w:r>
      <w:r w:rsidR="0048189B" w:rsidRPr="004C2943">
        <w:rPr>
          <w:rFonts w:ascii="仿宋" w:eastAsia="仿宋" w:hAnsi="仿宋" w:cs="仿宋" w:hint="eastAsia"/>
          <w:sz w:val="32"/>
          <w:szCs w:val="32"/>
        </w:rPr>
        <w:t>各部门对拟报废资产进行清查、盘点，相对集中存放、统一保管，以备学校及上级行政主管部门进行核查、验收。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4C2943">
        <w:rPr>
          <w:rFonts w:ascii="楷体" w:eastAsia="楷体" w:hAnsi="楷体" w:cs="仿宋" w:hint="eastAsia"/>
          <w:sz w:val="32"/>
          <w:szCs w:val="32"/>
        </w:rPr>
        <w:t>（三）提报申请，履行审批</w:t>
      </w:r>
    </w:p>
    <w:p w:rsidR="0048189B" w:rsidRPr="004C2943" w:rsidRDefault="00EF2066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各单位、</w:t>
      </w:r>
      <w:r w:rsidR="0048189B" w:rsidRPr="004C2943">
        <w:rPr>
          <w:rFonts w:ascii="仿宋" w:eastAsia="仿宋" w:hAnsi="仿宋" w:cs="仿宋" w:hint="eastAsia"/>
          <w:sz w:val="32"/>
          <w:szCs w:val="32"/>
        </w:rPr>
        <w:t>各部门</w:t>
      </w:r>
      <w:r w:rsidR="0048189B" w:rsidRPr="004C2943">
        <w:rPr>
          <w:rFonts w:ascii="仿宋" w:eastAsia="仿宋" w:hAnsi="仿宋" w:cs="仿宋"/>
          <w:sz w:val="32"/>
          <w:szCs w:val="32"/>
        </w:rPr>
        <w:t>向</w:t>
      </w:r>
      <w:r w:rsidR="0048189B" w:rsidRPr="004C2943">
        <w:rPr>
          <w:rFonts w:ascii="仿宋" w:eastAsia="仿宋" w:hAnsi="仿宋" w:cs="仿宋" w:hint="eastAsia"/>
          <w:sz w:val="32"/>
          <w:szCs w:val="32"/>
        </w:rPr>
        <w:t>资产与实验室管理处</w:t>
      </w:r>
      <w:r w:rsidR="0048189B" w:rsidRPr="004C2943">
        <w:rPr>
          <w:rFonts w:ascii="仿宋" w:eastAsia="仿宋" w:hAnsi="仿宋" w:cs="仿宋"/>
          <w:sz w:val="32"/>
          <w:szCs w:val="32"/>
        </w:rPr>
        <w:t>提出资产</w:t>
      </w:r>
      <w:r w:rsidR="00747034" w:rsidRPr="004C2943">
        <w:rPr>
          <w:rFonts w:ascii="仿宋" w:eastAsia="仿宋" w:hAnsi="仿宋" w:cs="仿宋" w:hint="eastAsia"/>
          <w:sz w:val="32"/>
          <w:szCs w:val="32"/>
        </w:rPr>
        <w:t>报废</w:t>
      </w:r>
      <w:r w:rsidR="0048189B" w:rsidRPr="004C2943">
        <w:rPr>
          <w:rFonts w:ascii="仿宋" w:eastAsia="仿宋" w:hAnsi="仿宋" w:cs="仿宋"/>
          <w:sz w:val="32"/>
          <w:szCs w:val="32"/>
        </w:rPr>
        <w:t>处置书面申请，对处置对象、处置理由等进行重点说明，</w:t>
      </w:r>
      <w:r w:rsidR="0048189B" w:rsidRPr="004C2943">
        <w:rPr>
          <w:rFonts w:ascii="仿宋" w:eastAsia="仿宋" w:hAnsi="仿宋" w:cs="仿宋" w:hint="eastAsia"/>
          <w:sz w:val="32"/>
          <w:szCs w:val="32"/>
        </w:rPr>
        <w:t>并</w:t>
      </w:r>
      <w:r w:rsidR="0048189B" w:rsidRPr="004C2943">
        <w:rPr>
          <w:rFonts w:ascii="仿宋" w:eastAsia="仿宋" w:hAnsi="仿宋" w:cs="仿宋"/>
          <w:sz w:val="32"/>
          <w:szCs w:val="32"/>
        </w:rPr>
        <w:t>按照规定履行</w:t>
      </w:r>
      <w:r w:rsidR="0048189B" w:rsidRPr="004C2943">
        <w:rPr>
          <w:rFonts w:ascii="仿宋" w:eastAsia="仿宋" w:hAnsi="仿宋" w:cs="仿宋" w:hint="eastAsia"/>
          <w:sz w:val="32"/>
          <w:szCs w:val="32"/>
        </w:rPr>
        <w:t>资产</w:t>
      </w:r>
      <w:r w:rsidR="00747034" w:rsidRPr="004C2943">
        <w:rPr>
          <w:rFonts w:ascii="仿宋" w:eastAsia="仿宋" w:hAnsi="仿宋" w:cs="仿宋" w:hint="eastAsia"/>
          <w:sz w:val="32"/>
          <w:szCs w:val="32"/>
        </w:rPr>
        <w:t>报废</w:t>
      </w:r>
      <w:r w:rsidR="0048189B" w:rsidRPr="004C2943">
        <w:rPr>
          <w:rFonts w:ascii="仿宋" w:eastAsia="仿宋" w:hAnsi="仿宋" w:cs="仿宋" w:hint="eastAsia"/>
          <w:sz w:val="32"/>
          <w:szCs w:val="32"/>
        </w:rPr>
        <w:t>处置</w:t>
      </w:r>
      <w:r w:rsidR="0048189B" w:rsidRPr="004C2943">
        <w:rPr>
          <w:rFonts w:ascii="仿宋" w:eastAsia="仿宋" w:hAnsi="仿宋" w:cs="仿宋"/>
          <w:sz w:val="32"/>
          <w:szCs w:val="32"/>
        </w:rPr>
        <w:t>审批</w:t>
      </w:r>
      <w:r w:rsidR="00D953EF" w:rsidRPr="004C2943">
        <w:rPr>
          <w:rFonts w:ascii="仿宋" w:eastAsia="仿宋" w:hAnsi="仿宋" w:cs="仿宋" w:hint="eastAsia"/>
          <w:sz w:val="32"/>
          <w:szCs w:val="32"/>
        </w:rPr>
        <w:t>程序</w:t>
      </w:r>
      <w:r w:rsidR="0048189B" w:rsidRPr="004C2943">
        <w:rPr>
          <w:rFonts w:ascii="仿宋" w:eastAsia="仿宋" w:hAnsi="仿宋" w:cs="仿宋"/>
          <w:sz w:val="32"/>
          <w:szCs w:val="32"/>
        </w:rPr>
        <w:t>。</w:t>
      </w:r>
    </w:p>
    <w:p w:rsidR="00A614AE" w:rsidRPr="00A614AE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/>
          <w:sz w:val="32"/>
          <w:szCs w:val="32"/>
        </w:rPr>
        <w:t>1.</w:t>
      </w:r>
      <w:r w:rsidR="00F854D0" w:rsidRPr="004C2943">
        <w:rPr>
          <w:rFonts w:ascii="仿宋" w:eastAsia="仿宋" w:hAnsi="仿宋" w:cs="仿宋" w:hint="eastAsia"/>
          <w:sz w:val="32"/>
          <w:szCs w:val="32"/>
        </w:rPr>
        <w:t>申请</w:t>
      </w:r>
      <w:r w:rsidRPr="004C2943">
        <w:rPr>
          <w:rFonts w:ascii="仿宋" w:eastAsia="仿宋" w:hAnsi="仿宋" w:cs="仿宋" w:hint="eastAsia"/>
          <w:sz w:val="32"/>
          <w:szCs w:val="32"/>
        </w:rPr>
        <w:t>。</w:t>
      </w:r>
      <w:r w:rsidR="00EF2066" w:rsidRPr="004C2943">
        <w:rPr>
          <w:rFonts w:ascii="仿宋" w:eastAsia="仿宋" w:hAnsi="仿宋" w:cs="仿宋" w:hint="eastAsia"/>
          <w:sz w:val="32"/>
          <w:szCs w:val="32"/>
        </w:rPr>
        <w:t>各单位、</w:t>
      </w:r>
      <w:r w:rsidRPr="004C2943">
        <w:rPr>
          <w:rFonts w:ascii="仿宋" w:eastAsia="仿宋" w:hAnsi="仿宋" w:cs="仿宋" w:hint="eastAsia"/>
          <w:sz w:val="32"/>
          <w:szCs w:val="32"/>
        </w:rPr>
        <w:t>各部门通过学校国有资产全生命周期管理平台对</w:t>
      </w:r>
      <w:r w:rsidR="009F39FB" w:rsidRPr="004C2943">
        <w:rPr>
          <w:rFonts w:ascii="仿宋" w:eastAsia="仿宋" w:hAnsi="仿宋" w:cs="仿宋" w:hint="eastAsia"/>
          <w:sz w:val="32"/>
          <w:szCs w:val="32"/>
        </w:rPr>
        <w:t>在</w:t>
      </w:r>
      <w:r w:rsidRPr="004C2943">
        <w:rPr>
          <w:rFonts w:ascii="仿宋" w:eastAsia="仿宋" w:hAnsi="仿宋" w:cs="仿宋" w:hint="eastAsia"/>
          <w:sz w:val="32"/>
          <w:szCs w:val="32"/>
        </w:rPr>
        <w:t>账的拟</w:t>
      </w:r>
      <w:r w:rsidR="00747034" w:rsidRPr="004C2943">
        <w:rPr>
          <w:rFonts w:ascii="仿宋" w:eastAsia="仿宋" w:hAnsi="仿宋" w:cs="仿宋" w:hint="eastAsia"/>
          <w:sz w:val="32"/>
          <w:szCs w:val="32"/>
        </w:rPr>
        <w:t>报废</w:t>
      </w:r>
      <w:r w:rsidRPr="004C2943">
        <w:rPr>
          <w:rFonts w:ascii="仿宋" w:eastAsia="仿宋" w:hAnsi="仿宋" w:cs="仿宋" w:hint="eastAsia"/>
          <w:sz w:val="32"/>
          <w:szCs w:val="32"/>
        </w:rPr>
        <w:t>处置资产进行分类并从系统中打印《长春师范大学资产处置申请表》；</w:t>
      </w:r>
      <w:r w:rsidR="009F39FB" w:rsidRPr="004C2943">
        <w:rPr>
          <w:rFonts w:ascii="仿宋" w:eastAsia="仿宋" w:hAnsi="仿宋" w:cs="仿宋" w:hint="eastAsia"/>
          <w:sz w:val="32"/>
          <w:szCs w:val="32"/>
        </w:rPr>
        <w:t>其它</w:t>
      </w:r>
      <w:r w:rsidRPr="004C2943">
        <w:rPr>
          <w:rFonts w:ascii="仿宋" w:eastAsia="仿宋" w:hAnsi="仿宋" w:cs="仿宋" w:hint="eastAsia"/>
          <w:sz w:val="32"/>
          <w:szCs w:val="32"/>
        </w:rPr>
        <w:t>拟报废资产，部门须单独填写《长春师范大学资产处置申请表》。</w:t>
      </w:r>
      <w:r w:rsidR="00F966CE" w:rsidRPr="00DB1076">
        <w:rPr>
          <w:rFonts w:ascii="仿宋" w:eastAsia="仿宋" w:hAnsi="仿宋" w:cs="仿宋" w:hint="eastAsia"/>
          <w:sz w:val="32"/>
          <w:szCs w:val="32"/>
        </w:rPr>
        <w:t>资产处置申请须经单位（部门）资产报废处置鉴定小组成员及负责人签字。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/>
          <w:sz w:val="32"/>
          <w:szCs w:val="32"/>
        </w:rPr>
        <w:t>2.</w:t>
      </w:r>
      <w:r w:rsidR="00F854D0" w:rsidRPr="004C2943">
        <w:rPr>
          <w:rFonts w:ascii="仿宋" w:eastAsia="仿宋" w:hAnsi="仿宋" w:cs="仿宋" w:hint="eastAsia"/>
          <w:sz w:val="32"/>
          <w:szCs w:val="32"/>
        </w:rPr>
        <w:t>审核（</w:t>
      </w:r>
      <w:r w:rsidR="00F854D0" w:rsidRPr="004C2943">
        <w:rPr>
          <w:rFonts w:ascii="仿宋" w:eastAsia="仿宋" w:hAnsi="仿宋" w:cs="仿宋"/>
          <w:sz w:val="32"/>
          <w:szCs w:val="32"/>
        </w:rPr>
        <w:t>批</w:t>
      </w:r>
      <w:r w:rsidR="00F854D0" w:rsidRPr="004C2943">
        <w:rPr>
          <w:rFonts w:ascii="仿宋" w:eastAsia="仿宋" w:hAnsi="仿宋" w:cs="仿宋" w:hint="eastAsia"/>
          <w:sz w:val="32"/>
          <w:szCs w:val="32"/>
        </w:rPr>
        <w:t>）</w:t>
      </w:r>
      <w:r w:rsidRPr="004C2943">
        <w:rPr>
          <w:rFonts w:ascii="仿宋" w:eastAsia="仿宋" w:hAnsi="仿宋" w:cs="仿宋" w:hint="eastAsia"/>
          <w:sz w:val="32"/>
          <w:szCs w:val="32"/>
        </w:rPr>
        <w:t>。</w:t>
      </w:r>
      <w:r w:rsidR="00240C19" w:rsidRPr="004C2943">
        <w:rPr>
          <w:rFonts w:ascii="仿宋" w:eastAsia="仿宋" w:hAnsi="仿宋" w:cs="仿宋" w:hint="eastAsia"/>
          <w:sz w:val="32"/>
          <w:szCs w:val="32"/>
        </w:rPr>
        <w:t>学校报废处置资产实施归口审核（批），各相关</w:t>
      </w:r>
      <w:r w:rsidR="00240C19" w:rsidRPr="004C2943">
        <w:rPr>
          <w:rFonts w:ascii="仿宋" w:eastAsia="仿宋" w:hAnsi="仿宋" w:cs="仿宋" w:hint="eastAsia"/>
          <w:sz w:val="32"/>
          <w:szCs w:val="32"/>
        </w:rPr>
        <w:lastRenderedPageBreak/>
        <w:t>职能部门</w:t>
      </w:r>
      <w:r w:rsidR="00240C19" w:rsidRPr="004C2943">
        <w:rPr>
          <w:rFonts w:ascii="仿宋" w:eastAsia="仿宋" w:hAnsi="仿宋" w:cs="仿宋"/>
          <w:sz w:val="32"/>
          <w:szCs w:val="32"/>
        </w:rPr>
        <w:t>对</w:t>
      </w:r>
      <w:r w:rsidR="00240C19" w:rsidRPr="004C2943">
        <w:rPr>
          <w:rFonts w:ascii="仿宋" w:eastAsia="仿宋" w:hAnsi="仿宋" w:cs="仿宋" w:hint="eastAsia"/>
          <w:sz w:val="32"/>
          <w:szCs w:val="32"/>
        </w:rPr>
        <w:t>拟报废资产处置申请进行</w:t>
      </w:r>
      <w:r w:rsidR="00240C19" w:rsidRPr="004C2943">
        <w:rPr>
          <w:rFonts w:ascii="仿宋" w:eastAsia="仿宋" w:hAnsi="仿宋" w:cs="仿宋"/>
          <w:sz w:val="32"/>
          <w:szCs w:val="32"/>
        </w:rPr>
        <w:t>审</w:t>
      </w:r>
      <w:r w:rsidR="00240C19" w:rsidRPr="004C2943">
        <w:rPr>
          <w:rFonts w:ascii="仿宋" w:eastAsia="仿宋" w:hAnsi="仿宋" w:cs="仿宋" w:hint="eastAsia"/>
          <w:sz w:val="32"/>
          <w:szCs w:val="32"/>
        </w:rPr>
        <w:t>核后，报送分管校领导审批。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（1）教学仪器设备、家具的报废处置申请</w:t>
      </w:r>
      <w:r w:rsidR="00D953EF" w:rsidRPr="004C2943">
        <w:rPr>
          <w:rFonts w:ascii="仿宋" w:eastAsia="仿宋" w:hAnsi="仿宋" w:cs="仿宋" w:hint="eastAsia"/>
          <w:sz w:val="32"/>
          <w:szCs w:val="32"/>
        </w:rPr>
        <w:t>经</w:t>
      </w:r>
      <w:r w:rsidRPr="004C2943">
        <w:rPr>
          <w:rFonts w:ascii="仿宋" w:eastAsia="仿宋" w:hAnsi="仿宋" w:cs="仿宋" w:hint="eastAsia"/>
          <w:sz w:val="32"/>
          <w:szCs w:val="32"/>
        </w:rPr>
        <w:t>教务处审核后，报分管教学校领导审批；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（2）科研仪器设备、家具的报废处置申请</w:t>
      </w:r>
      <w:r w:rsidR="00D953EF" w:rsidRPr="004C2943">
        <w:rPr>
          <w:rFonts w:ascii="仿宋" w:eastAsia="仿宋" w:hAnsi="仿宋" w:cs="仿宋" w:hint="eastAsia"/>
          <w:sz w:val="32"/>
          <w:szCs w:val="32"/>
        </w:rPr>
        <w:t>经</w:t>
      </w:r>
      <w:r w:rsidRPr="004C2943">
        <w:rPr>
          <w:rFonts w:ascii="仿宋" w:eastAsia="仿宋" w:hAnsi="仿宋" w:cs="仿宋" w:hint="eastAsia"/>
          <w:sz w:val="32"/>
          <w:szCs w:val="32"/>
        </w:rPr>
        <w:t>科研处审核后，报分管科研校领导审批；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（3）后勤设备、家具的报废处置申请由分管后勤校领导审批；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（4）机关及教辅部门相关设备、家具的报废处置申请由各部门分管校领导审批；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（5）各教学单位办公类设备、家具的报废处置申请由使用部门报送资产与实验室管理处</w:t>
      </w:r>
      <w:r w:rsidR="00E92BBA" w:rsidRPr="004C2943">
        <w:rPr>
          <w:rFonts w:ascii="仿宋" w:eastAsia="仿宋" w:hAnsi="仿宋" w:cs="仿宋" w:hint="eastAsia"/>
          <w:sz w:val="32"/>
          <w:szCs w:val="32"/>
        </w:rPr>
        <w:t>统一</w:t>
      </w:r>
      <w:r w:rsidR="00E92BBA" w:rsidRPr="004C2943">
        <w:rPr>
          <w:rFonts w:ascii="仿宋" w:eastAsia="仿宋" w:hAnsi="仿宋" w:cs="仿宋" w:hint="eastAsia"/>
          <w:kern w:val="0"/>
          <w:sz w:val="32"/>
          <w:szCs w:val="32"/>
        </w:rPr>
        <w:t>办理审批</w:t>
      </w:r>
      <w:r w:rsidRPr="004C2943">
        <w:rPr>
          <w:rFonts w:ascii="仿宋" w:eastAsia="仿宋" w:hAnsi="仿宋" w:cs="仿宋" w:hint="eastAsia"/>
          <w:sz w:val="32"/>
          <w:szCs w:val="32"/>
        </w:rPr>
        <w:t>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3</w:t>
      </w:r>
      <w:r w:rsidRPr="004C2943">
        <w:rPr>
          <w:rFonts w:ascii="仿宋" w:eastAsia="仿宋" w:hAnsi="仿宋" w:cs="仿宋"/>
          <w:sz w:val="32"/>
          <w:szCs w:val="32"/>
        </w:rPr>
        <w:t>.</w:t>
      </w:r>
      <w:r w:rsidR="00F854D0" w:rsidRPr="004C2943">
        <w:rPr>
          <w:rFonts w:ascii="仿宋" w:eastAsia="仿宋" w:hAnsi="仿宋" w:cs="仿宋" w:hint="eastAsia"/>
          <w:sz w:val="32"/>
          <w:szCs w:val="32"/>
        </w:rPr>
        <w:t>报送。</w:t>
      </w:r>
      <w:r w:rsidR="00EF2066" w:rsidRPr="004C2943">
        <w:rPr>
          <w:rFonts w:ascii="仿宋" w:eastAsia="仿宋" w:hAnsi="仿宋" w:cs="仿宋" w:hint="eastAsia"/>
          <w:sz w:val="32"/>
          <w:szCs w:val="32"/>
        </w:rPr>
        <w:t>各单位、</w:t>
      </w:r>
      <w:r w:rsidRPr="004C2943">
        <w:rPr>
          <w:rFonts w:ascii="仿宋" w:eastAsia="仿宋" w:hAnsi="仿宋" w:cs="仿宋" w:hint="eastAsia"/>
          <w:sz w:val="32"/>
          <w:szCs w:val="32"/>
        </w:rPr>
        <w:t>各部门完成校内资产</w:t>
      </w:r>
      <w:r w:rsidR="00EF2066" w:rsidRPr="004C2943">
        <w:rPr>
          <w:rFonts w:ascii="仿宋" w:eastAsia="仿宋" w:hAnsi="仿宋" w:cs="仿宋" w:hint="eastAsia"/>
          <w:sz w:val="32"/>
          <w:szCs w:val="32"/>
        </w:rPr>
        <w:t>报废</w:t>
      </w:r>
      <w:r w:rsidRPr="004C2943">
        <w:rPr>
          <w:rFonts w:ascii="仿宋" w:eastAsia="仿宋" w:hAnsi="仿宋" w:cs="仿宋" w:hint="eastAsia"/>
          <w:sz w:val="32"/>
          <w:szCs w:val="32"/>
        </w:rPr>
        <w:t>处置</w:t>
      </w:r>
      <w:r w:rsidRPr="004C2943">
        <w:rPr>
          <w:rFonts w:ascii="仿宋" w:eastAsia="仿宋" w:hAnsi="仿宋" w:cs="仿宋"/>
          <w:sz w:val="32"/>
          <w:szCs w:val="32"/>
        </w:rPr>
        <w:t>审批</w:t>
      </w:r>
      <w:r w:rsidRPr="004C2943">
        <w:rPr>
          <w:rFonts w:ascii="仿宋" w:eastAsia="仿宋" w:hAnsi="仿宋" w:cs="仿宋" w:hint="eastAsia"/>
          <w:sz w:val="32"/>
          <w:szCs w:val="32"/>
        </w:rPr>
        <w:t>程序后，将</w:t>
      </w:r>
      <w:r w:rsidR="00F966CE" w:rsidRPr="004C2943">
        <w:rPr>
          <w:rFonts w:ascii="仿宋" w:eastAsia="仿宋" w:hAnsi="仿宋" w:cs="仿宋" w:hint="eastAsia"/>
          <w:sz w:val="32"/>
          <w:szCs w:val="32"/>
        </w:rPr>
        <w:t>《长春师范大学资产处置申请表》</w:t>
      </w:r>
      <w:r w:rsidRPr="004C2943">
        <w:rPr>
          <w:rFonts w:ascii="仿宋" w:eastAsia="仿宋" w:hAnsi="仿宋" w:cs="仿宋" w:hint="eastAsia"/>
          <w:sz w:val="32"/>
          <w:szCs w:val="32"/>
        </w:rPr>
        <w:t>报送资产与实验室管理处。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4C2943">
        <w:rPr>
          <w:rFonts w:ascii="楷体" w:eastAsia="楷体" w:hAnsi="楷体" w:cs="仿宋" w:hint="eastAsia"/>
          <w:sz w:val="32"/>
          <w:szCs w:val="32"/>
        </w:rPr>
        <w:t>（四）现场复核、集中鉴定</w:t>
      </w:r>
    </w:p>
    <w:p w:rsidR="00240C19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资产与实验室管理处</w:t>
      </w:r>
      <w:r w:rsidR="00240C19" w:rsidRPr="004C2943">
        <w:rPr>
          <w:rFonts w:ascii="仿宋" w:eastAsia="仿宋" w:hAnsi="仿宋" w:cs="仿宋" w:hint="eastAsia"/>
          <w:sz w:val="32"/>
          <w:szCs w:val="32"/>
        </w:rPr>
        <w:t>组织相关领域专家和计划财务处、审计处等部门相关人员，对各单位、各部门拟报废处置的资产进行现场复核、鉴定</w:t>
      </w:r>
      <w:r w:rsidR="00B16D13" w:rsidRPr="004C2943">
        <w:rPr>
          <w:rFonts w:ascii="仿宋" w:eastAsia="仿宋" w:hAnsi="仿宋" w:cs="仿宋" w:hint="eastAsia"/>
          <w:sz w:val="32"/>
          <w:szCs w:val="32"/>
        </w:rPr>
        <w:t>，</w:t>
      </w:r>
      <w:r w:rsidR="00F35046" w:rsidRPr="004C2943">
        <w:rPr>
          <w:rFonts w:ascii="仿宋" w:eastAsia="仿宋" w:hAnsi="仿宋" w:cs="仿宋" w:hint="eastAsia"/>
          <w:sz w:val="32"/>
          <w:szCs w:val="32"/>
        </w:rPr>
        <w:t>鉴定结果不符合报废标准的，不予报废处置。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4C2943">
        <w:rPr>
          <w:rFonts w:ascii="楷体" w:eastAsia="楷体" w:hAnsi="楷体" w:cs="仿宋" w:hint="eastAsia"/>
          <w:sz w:val="32"/>
          <w:szCs w:val="32"/>
        </w:rPr>
        <w:t>（五）上报审批、实</w:t>
      </w:r>
      <w:r w:rsidR="000569E2" w:rsidRPr="004C2943">
        <w:rPr>
          <w:rFonts w:ascii="楷体" w:eastAsia="楷体" w:hAnsi="楷体" w:cs="仿宋" w:hint="eastAsia"/>
          <w:sz w:val="32"/>
          <w:szCs w:val="32"/>
        </w:rPr>
        <w:t>物</w:t>
      </w:r>
      <w:r w:rsidRPr="004C2943">
        <w:rPr>
          <w:rFonts w:ascii="楷体" w:eastAsia="楷体" w:hAnsi="楷体" w:cs="仿宋" w:hint="eastAsia"/>
          <w:sz w:val="32"/>
          <w:szCs w:val="32"/>
        </w:rPr>
        <w:t>处置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学校资产报废处置工作经校长办公会、党委常委会审议</w:t>
      </w:r>
      <w:r w:rsidR="000569E2" w:rsidRPr="004C2943">
        <w:rPr>
          <w:rFonts w:ascii="仿宋" w:eastAsia="仿宋" w:hAnsi="仿宋" w:cs="仿宋" w:hint="eastAsia"/>
          <w:sz w:val="32"/>
          <w:szCs w:val="32"/>
        </w:rPr>
        <w:t>通过</w:t>
      </w:r>
      <w:r w:rsidRPr="004C2943">
        <w:rPr>
          <w:rFonts w:ascii="仿宋" w:eastAsia="仿宋" w:hAnsi="仿宋" w:cs="仿宋" w:hint="eastAsia"/>
          <w:sz w:val="32"/>
          <w:szCs w:val="32"/>
        </w:rPr>
        <w:t>后，上报省教育厅审核、财政厅审批。待上级部门批复后，学校依据批复文件，按照有关规定及时完成报废资产的实</w:t>
      </w:r>
      <w:r w:rsidR="000569E2" w:rsidRPr="004C2943">
        <w:rPr>
          <w:rFonts w:ascii="仿宋" w:eastAsia="仿宋" w:hAnsi="仿宋" w:cs="仿宋" w:hint="eastAsia"/>
          <w:sz w:val="32"/>
          <w:szCs w:val="32"/>
        </w:rPr>
        <w:t>物</w:t>
      </w:r>
      <w:r w:rsidRPr="004C2943">
        <w:rPr>
          <w:rFonts w:ascii="仿宋" w:eastAsia="仿宋" w:hAnsi="仿宋" w:cs="仿宋" w:hint="eastAsia"/>
          <w:sz w:val="32"/>
          <w:szCs w:val="32"/>
        </w:rPr>
        <w:t>处置及账务处理工作。</w:t>
      </w:r>
    </w:p>
    <w:p w:rsidR="0048189B" w:rsidRPr="004C2943" w:rsidRDefault="002B63EF" w:rsidP="00682C7F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4C2943">
        <w:rPr>
          <w:rFonts w:ascii="黑体" w:eastAsia="黑体" w:hAnsi="黑体" w:cs="仿宋" w:hint="eastAsia"/>
          <w:sz w:val="32"/>
          <w:szCs w:val="32"/>
        </w:rPr>
        <w:t>三</w:t>
      </w:r>
      <w:r w:rsidR="0048189B" w:rsidRPr="004C2943">
        <w:rPr>
          <w:rFonts w:ascii="黑体" w:eastAsia="黑体" w:hAnsi="黑体" w:cs="仿宋" w:hint="eastAsia"/>
          <w:sz w:val="32"/>
          <w:szCs w:val="32"/>
        </w:rPr>
        <w:t>、报废处置要求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4C2943">
        <w:rPr>
          <w:rFonts w:ascii="楷体" w:eastAsia="楷体" w:hAnsi="楷体" w:cs="仿宋" w:hint="eastAsia"/>
          <w:sz w:val="32"/>
          <w:szCs w:val="32"/>
        </w:rPr>
        <w:t>（一）安全事项</w:t>
      </w:r>
    </w:p>
    <w:p w:rsidR="00785D70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学校资产报废处置复核、鉴定通过后，</w:t>
      </w:r>
      <w:r w:rsidR="004A22AD" w:rsidRPr="004C2943">
        <w:rPr>
          <w:rFonts w:ascii="仿宋" w:eastAsia="仿宋" w:hAnsi="仿宋" w:cs="仿宋" w:hint="eastAsia"/>
          <w:sz w:val="32"/>
          <w:szCs w:val="32"/>
        </w:rPr>
        <w:t>各单位、各部门</w:t>
      </w:r>
      <w:r w:rsidR="00893075" w:rsidRPr="004C2943">
        <w:rPr>
          <w:rFonts w:ascii="仿宋" w:eastAsia="仿宋" w:hAnsi="仿宋" w:cs="仿宋" w:hint="eastAsia"/>
          <w:sz w:val="32"/>
          <w:szCs w:val="32"/>
        </w:rPr>
        <w:t>拟报废处置资产中如有放射性、压力容器等</w:t>
      </w:r>
      <w:r w:rsidR="00F35046" w:rsidRPr="004C2943">
        <w:rPr>
          <w:rFonts w:ascii="仿宋" w:eastAsia="仿宋" w:hAnsi="仿宋" w:cs="仿宋" w:hint="eastAsia"/>
          <w:sz w:val="32"/>
          <w:szCs w:val="32"/>
        </w:rPr>
        <w:t>特殊仪器设备</w:t>
      </w:r>
      <w:r w:rsidR="00B16D13" w:rsidRPr="004C2943">
        <w:rPr>
          <w:rFonts w:ascii="仿宋" w:eastAsia="仿宋" w:hAnsi="仿宋" w:cs="仿宋" w:hint="eastAsia"/>
          <w:sz w:val="32"/>
          <w:szCs w:val="32"/>
        </w:rPr>
        <w:t>，</w:t>
      </w:r>
      <w:r w:rsidRPr="004C2943">
        <w:rPr>
          <w:rFonts w:ascii="仿宋" w:eastAsia="仿宋" w:hAnsi="仿宋" w:cs="仿宋" w:hint="eastAsia"/>
          <w:sz w:val="32"/>
          <w:szCs w:val="32"/>
        </w:rPr>
        <w:t>须</w:t>
      </w:r>
      <w:r w:rsidR="00B16D13" w:rsidRPr="004C2943">
        <w:rPr>
          <w:rFonts w:ascii="仿宋" w:eastAsia="仿宋" w:hAnsi="仿宋" w:cs="仿宋" w:hint="eastAsia"/>
          <w:sz w:val="32"/>
          <w:szCs w:val="32"/>
        </w:rPr>
        <w:t>向资产与实</w:t>
      </w:r>
      <w:r w:rsidR="00B16D13" w:rsidRPr="004C2943">
        <w:rPr>
          <w:rFonts w:ascii="仿宋" w:eastAsia="仿宋" w:hAnsi="仿宋" w:cs="仿宋" w:hint="eastAsia"/>
          <w:sz w:val="32"/>
          <w:szCs w:val="32"/>
        </w:rPr>
        <w:lastRenderedPageBreak/>
        <w:t>验室管理处报备</w:t>
      </w:r>
      <w:r w:rsidRPr="004C2943">
        <w:rPr>
          <w:rFonts w:ascii="仿宋" w:eastAsia="仿宋" w:hAnsi="仿宋" w:cs="仿宋" w:hint="eastAsia"/>
          <w:sz w:val="32"/>
          <w:szCs w:val="32"/>
        </w:rPr>
        <w:t>，并按照</w:t>
      </w:r>
      <w:r w:rsidR="00B16D13" w:rsidRPr="004C2943">
        <w:rPr>
          <w:rFonts w:ascii="仿宋" w:eastAsia="仿宋" w:hAnsi="仿宋" w:cs="仿宋" w:hint="eastAsia"/>
          <w:sz w:val="32"/>
          <w:szCs w:val="32"/>
        </w:rPr>
        <w:t>有关规定</w:t>
      </w:r>
      <w:r w:rsidRPr="004C2943">
        <w:rPr>
          <w:rFonts w:ascii="仿宋" w:eastAsia="仿宋" w:hAnsi="仿宋" w:cs="仿宋" w:hint="eastAsia"/>
          <w:sz w:val="32"/>
          <w:szCs w:val="32"/>
        </w:rPr>
        <w:t>进行</w:t>
      </w:r>
      <w:r w:rsidR="00F35046" w:rsidRPr="004C2943">
        <w:rPr>
          <w:rFonts w:ascii="仿宋" w:eastAsia="仿宋" w:hAnsi="仿宋" w:cs="仿宋" w:hint="eastAsia"/>
          <w:sz w:val="32"/>
          <w:szCs w:val="32"/>
        </w:rPr>
        <w:t>专业</w:t>
      </w:r>
      <w:r w:rsidRPr="004C2943">
        <w:rPr>
          <w:rFonts w:ascii="仿宋" w:eastAsia="仿宋" w:hAnsi="仿宋" w:cs="仿宋" w:hint="eastAsia"/>
          <w:bCs/>
          <w:sz w:val="32"/>
          <w:szCs w:val="32"/>
        </w:rPr>
        <w:t>化处理</w:t>
      </w:r>
      <w:r w:rsidRPr="004C2943">
        <w:rPr>
          <w:rFonts w:ascii="仿宋" w:eastAsia="仿宋" w:hAnsi="仿宋" w:cs="仿宋" w:hint="eastAsia"/>
          <w:sz w:val="32"/>
          <w:szCs w:val="32"/>
        </w:rPr>
        <w:t>，以</w:t>
      </w:r>
      <w:r w:rsidR="00072103">
        <w:rPr>
          <w:rFonts w:ascii="仿宋" w:eastAsia="仿宋" w:hAnsi="仿宋" w:cs="仿宋" w:hint="eastAsia"/>
          <w:sz w:val="32"/>
          <w:szCs w:val="32"/>
        </w:rPr>
        <w:t>消除安全隐患</w:t>
      </w:r>
      <w:r w:rsidR="00893075" w:rsidRPr="004C2943">
        <w:rPr>
          <w:rFonts w:ascii="仿宋" w:eastAsia="仿宋" w:hAnsi="仿宋" w:cs="仿宋" w:hint="eastAsia"/>
          <w:sz w:val="32"/>
          <w:szCs w:val="32"/>
        </w:rPr>
        <w:t>；拟报废处置资产中如有电脑、网络服务器等数据存储设备，应做好</w:t>
      </w:r>
      <w:r w:rsidR="00640CF5" w:rsidRPr="004C2943">
        <w:rPr>
          <w:rFonts w:ascii="仿宋" w:eastAsia="仿宋" w:hAnsi="仿宋" w:cs="仿宋" w:hint="eastAsia"/>
          <w:sz w:val="32"/>
          <w:szCs w:val="32"/>
        </w:rPr>
        <w:t>有</w:t>
      </w:r>
      <w:r w:rsidR="00893075" w:rsidRPr="004C2943">
        <w:rPr>
          <w:rFonts w:ascii="仿宋" w:eastAsia="仿宋" w:hAnsi="仿宋" w:cs="仿宋" w:hint="eastAsia"/>
          <w:sz w:val="32"/>
          <w:szCs w:val="32"/>
        </w:rPr>
        <w:t>价值信息数据的备份存储工作，</w:t>
      </w:r>
      <w:r w:rsidR="000C3548">
        <w:rPr>
          <w:rFonts w:ascii="仿宋" w:eastAsia="仿宋" w:hAnsi="仿宋" w:cs="仿宋" w:hint="eastAsia"/>
          <w:sz w:val="32"/>
          <w:szCs w:val="32"/>
        </w:rPr>
        <w:t>并</w:t>
      </w:r>
      <w:r w:rsidR="000C3548" w:rsidRPr="00DC29DD">
        <w:rPr>
          <w:rFonts w:ascii="仿宋" w:eastAsia="仿宋" w:hAnsi="仿宋" w:cs="仿宋" w:hint="eastAsia"/>
          <w:sz w:val="32"/>
          <w:szCs w:val="32"/>
        </w:rPr>
        <w:t>全面清除</w:t>
      </w:r>
      <w:r w:rsidR="000C3548">
        <w:rPr>
          <w:rFonts w:ascii="仿宋" w:eastAsia="仿宋" w:hAnsi="仿宋" w:cs="仿宋" w:hint="eastAsia"/>
          <w:sz w:val="32"/>
          <w:szCs w:val="32"/>
        </w:rPr>
        <w:t>原设备相关存储</w:t>
      </w:r>
      <w:r w:rsidR="000C3548" w:rsidRPr="00DC29DD">
        <w:rPr>
          <w:rFonts w:ascii="仿宋" w:eastAsia="仿宋" w:hAnsi="仿宋" w:cs="仿宋" w:hint="eastAsia"/>
          <w:sz w:val="32"/>
          <w:szCs w:val="32"/>
        </w:rPr>
        <w:t>数据</w:t>
      </w:r>
      <w:r w:rsidR="00893075" w:rsidRPr="004C2943">
        <w:rPr>
          <w:rFonts w:ascii="仿宋" w:eastAsia="仿宋" w:hAnsi="仿宋" w:cs="仿宋" w:hint="eastAsia"/>
          <w:sz w:val="32"/>
          <w:szCs w:val="32"/>
        </w:rPr>
        <w:t>，以防止信息数据遗失或泄露。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4C2943">
        <w:rPr>
          <w:rFonts w:ascii="楷体" w:eastAsia="楷体" w:hAnsi="楷体" w:cs="仿宋" w:hint="eastAsia"/>
          <w:sz w:val="32"/>
          <w:szCs w:val="32"/>
        </w:rPr>
        <w:t>（二）有关要求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1.</w:t>
      </w:r>
      <w:r w:rsidR="00EF2066" w:rsidRPr="004C2943">
        <w:rPr>
          <w:rFonts w:ascii="仿宋" w:eastAsia="仿宋" w:hAnsi="仿宋" w:cs="仿宋" w:hint="eastAsia"/>
          <w:sz w:val="32"/>
          <w:szCs w:val="32"/>
        </w:rPr>
        <w:t>各单位、</w:t>
      </w:r>
      <w:r w:rsidRPr="004C2943">
        <w:rPr>
          <w:rFonts w:ascii="仿宋" w:eastAsia="仿宋" w:hAnsi="仿宋" w:cs="仿宋" w:hint="eastAsia"/>
          <w:sz w:val="32"/>
          <w:szCs w:val="32"/>
        </w:rPr>
        <w:t>各部门要高度重视资产报废处置工作，</w:t>
      </w:r>
      <w:r w:rsidR="00C45988" w:rsidRPr="004C2943">
        <w:rPr>
          <w:rFonts w:ascii="仿宋" w:eastAsia="仿宋" w:hAnsi="仿宋" w:cs="仿宋" w:hint="eastAsia"/>
          <w:sz w:val="32"/>
          <w:szCs w:val="32"/>
        </w:rPr>
        <w:t>根据资产实际使用情况，</w:t>
      </w:r>
      <w:r w:rsidRPr="004C2943">
        <w:rPr>
          <w:rFonts w:ascii="仿宋" w:eastAsia="仿宋" w:hAnsi="仿宋" w:cs="仿宋" w:hint="eastAsia"/>
          <w:sz w:val="32"/>
          <w:szCs w:val="32"/>
        </w:rPr>
        <w:t>严格报废处置工作程序，</w:t>
      </w:r>
      <w:r w:rsidR="00C45988" w:rsidRPr="004C2943">
        <w:rPr>
          <w:rFonts w:ascii="仿宋" w:eastAsia="仿宋" w:hAnsi="仿宋" w:cs="仿宋" w:hint="eastAsia"/>
          <w:sz w:val="32"/>
          <w:szCs w:val="32"/>
        </w:rPr>
        <w:t>认真组织实施</w:t>
      </w:r>
      <w:r w:rsidRPr="004C2943">
        <w:rPr>
          <w:rFonts w:ascii="仿宋" w:eastAsia="仿宋" w:hAnsi="仿宋" w:cs="仿宋" w:hint="eastAsia"/>
          <w:sz w:val="32"/>
          <w:szCs w:val="32"/>
        </w:rPr>
        <w:t>，保证申报材料的真实、准确、完整。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2.学校资产报废处置工作按照先报批后处置的原则，严格履行审批程序，未经批准不得自行处置，不得随意拆、取零配件。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3.</w:t>
      </w:r>
      <w:r w:rsidR="00EF2066" w:rsidRPr="004C2943">
        <w:rPr>
          <w:rFonts w:ascii="仿宋" w:eastAsia="仿宋" w:hAnsi="仿宋" w:cs="仿宋" w:hint="eastAsia"/>
          <w:sz w:val="32"/>
          <w:szCs w:val="32"/>
        </w:rPr>
        <w:t>各单位、</w:t>
      </w:r>
      <w:r w:rsidRPr="004C2943">
        <w:rPr>
          <w:rFonts w:ascii="仿宋" w:eastAsia="仿宋" w:hAnsi="仿宋" w:cs="仿宋" w:hint="eastAsia"/>
          <w:sz w:val="32"/>
          <w:szCs w:val="32"/>
        </w:rPr>
        <w:t>各部门应指定专人</w:t>
      </w:r>
      <w:r w:rsidR="00C45988" w:rsidRPr="004C2943">
        <w:rPr>
          <w:rFonts w:ascii="仿宋" w:eastAsia="仿宋" w:hAnsi="仿宋" w:cs="仿宋" w:hint="eastAsia"/>
          <w:sz w:val="32"/>
          <w:szCs w:val="32"/>
        </w:rPr>
        <w:t>妥善保管拟报废</w:t>
      </w:r>
      <w:r w:rsidRPr="004C2943">
        <w:rPr>
          <w:rFonts w:ascii="仿宋" w:eastAsia="仿宋" w:hAnsi="仿宋" w:cs="仿宋" w:hint="eastAsia"/>
          <w:sz w:val="32"/>
          <w:szCs w:val="32"/>
        </w:rPr>
        <w:t>资产，保证报废资产的完整</w:t>
      </w:r>
      <w:r w:rsidR="00C45988" w:rsidRPr="004C2943">
        <w:rPr>
          <w:rFonts w:ascii="仿宋" w:eastAsia="仿宋" w:hAnsi="仿宋" w:cs="仿宋" w:hint="eastAsia"/>
          <w:sz w:val="32"/>
          <w:szCs w:val="32"/>
        </w:rPr>
        <w:t>性</w:t>
      </w:r>
      <w:r w:rsidRPr="004C2943">
        <w:rPr>
          <w:rFonts w:ascii="仿宋" w:eastAsia="仿宋" w:hAnsi="仿宋" w:cs="仿宋" w:hint="eastAsia"/>
          <w:sz w:val="32"/>
          <w:szCs w:val="32"/>
        </w:rPr>
        <w:t>，直至学校完成资产实</w:t>
      </w:r>
      <w:r w:rsidR="00785885" w:rsidRPr="004C2943">
        <w:rPr>
          <w:rFonts w:ascii="仿宋" w:eastAsia="仿宋" w:hAnsi="仿宋" w:cs="仿宋" w:hint="eastAsia"/>
          <w:sz w:val="32"/>
          <w:szCs w:val="32"/>
        </w:rPr>
        <w:t>物</w:t>
      </w:r>
      <w:r w:rsidRPr="004C2943">
        <w:rPr>
          <w:rFonts w:ascii="仿宋" w:eastAsia="仿宋" w:hAnsi="仿宋" w:cs="仿宋" w:hint="eastAsia"/>
          <w:sz w:val="32"/>
          <w:szCs w:val="32"/>
        </w:rPr>
        <w:t>报废处置工作。</w:t>
      </w:r>
    </w:p>
    <w:p w:rsidR="002E4333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/>
          <w:sz w:val="32"/>
          <w:szCs w:val="32"/>
        </w:rPr>
        <w:t>4.</w:t>
      </w:r>
      <w:r w:rsidRPr="004C2943">
        <w:rPr>
          <w:rFonts w:ascii="仿宋" w:eastAsia="仿宋" w:hAnsi="仿宋" w:cs="仿宋" w:hint="eastAsia"/>
          <w:sz w:val="32"/>
          <w:szCs w:val="32"/>
        </w:rPr>
        <w:t>请各部门于</w:t>
      </w:r>
      <w:r w:rsidRPr="004C2943">
        <w:rPr>
          <w:rFonts w:ascii="仿宋" w:eastAsia="仿宋" w:hAnsi="仿宋" w:cs="仿宋"/>
          <w:sz w:val="32"/>
          <w:szCs w:val="32"/>
        </w:rPr>
        <w:t>2023</w:t>
      </w:r>
      <w:r w:rsidRPr="004C2943">
        <w:rPr>
          <w:rFonts w:ascii="仿宋" w:eastAsia="仿宋" w:hAnsi="仿宋" w:cs="仿宋" w:hint="eastAsia"/>
          <w:sz w:val="32"/>
          <w:szCs w:val="32"/>
        </w:rPr>
        <w:t>年</w:t>
      </w:r>
      <w:r w:rsidRPr="004C2943">
        <w:rPr>
          <w:rFonts w:ascii="仿宋" w:eastAsia="仿宋" w:hAnsi="仿宋" w:cs="仿宋"/>
          <w:sz w:val="32"/>
          <w:szCs w:val="32"/>
        </w:rPr>
        <w:t>4</w:t>
      </w:r>
      <w:r w:rsidRPr="004C2943">
        <w:rPr>
          <w:rFonts w:ascii="仿宋" w:eastAsia="仿宋" w:hAnsi="仿宋" w:cs="仿宋" w:hint="eastAsia"/>
          <w:sz w:val="32"/>
          <w:szCs w:val="32"/>
        </w:rPr>
        <w:t>月</w:t>
      </w:r>
      <w:r w:rsidR="002F7A3F">
        <w:rPr>
          <w:rFonts w:ascii="仿宋" w:eastAsia="仿宋" w:hAnsi="仿宋" w:cs="仿宋"/>
          <w:sz w:val="32"/>
          <w:szCs w:val="32"/>
        </w:rPr>
        <w:t>20</w:t>
      </w:r>
      <w:bookmarkStart w:id="0" w:name="_GoBack"/>
      <w:bookmarkEnd w:id="0"/>
      <w:r w:rsidRPr="004C2943">
        <w:rPr>
          <w:rFonts w:ascii="仿宋" w:eastAsia="仿宋" w:hAnsi="仿宋" w:cs="仿宋" w:hint="eastAsia"/>
          <w:sz w:val="32"/>
          <w:szCs w:val="32"/>
        </w:rPr>
        <w:t>日前，完成资产报废处置申报工作，并将相关材料报送资产与实验室管理处（教学综合楼9</w:t>
      </w:r>
      <w:r w:rsidRPr="004C2943">
        <w:rPr>
          <w:rFonts w:ascii="仿宋" w:eastAsia="仿宋" w:hAnsi="仿宋" w:cs="仿宋"/>
          <w:sz w:val="32"/>
          <w:szCs w:val="32"/>
        </w:rPr>
        <w:t>04</w:t>
      </w:r>
      <w:r w:rsidRPr="004C2943">
        <w:rPr>
          <w:rFonts w:ascii="仿宋" w:eastAsia="仿宋" w:hAnsi="仿宋" w:cs="仿宋" w:hint="eastAsia"/>
          <w:sz w:val="32"/>
          <w:szCs w:val="32"/>
        </w:rPr>
        <w:t>室）</w:t>
      </w:r>
      <w:r w:rsidR="00C45988" w:rsidRPr="004C2943">
        <w:rPr>
          <w:rFonts w:ascii="仿宋" w:eastAsia="仿宋" w:hAnsi="仿宋" w:cs="仿宋" w:hint="eastAsia"/>
          <w:sz w:val="32"/>
          <w:szCs w:val="32"/>
        </w:rPr>
        <w:t>。</w:t>
      </w:r>
    </w:p>
    <w:p w:rsidR="0048189B" w:rsidRPr="004C2943" w:rsidRDefault="0048189B" w:rsidP="00682C7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 xml:space="preserve">联系人：刘帅 </w:t>
      </w:r>
      <w:r w:rsidRPr="004C2943">
        <w:rPr>
          <w:rFonts w:ascii="仿宋" w:eastAsia="仿宋" w:hAnsi="仿宋" w:cs="仿宋"/>
          <w:sz w:val="32"/>
          <w:szCs w:val="32"/>
        </w:rPr>
        <w:t xml:space="preserve"> </w:t>
      </w:r>
      <w:r w:rsidRPr="004C2943">
        <w:rPr>
          <w:rFonts w:ascii="仿宋" w:eastAsia="仿宋" w:hAnsi="仿宋" w:cs="仿宋" w:hint="eastAsia"/>
          <w:sz w:val="32"/>
          <w:szCs w:val="32"/>
        </w:rPr>
        <w:t>联系电话：86168059</w:t>
      </w:r>
    </w:p>
    <w:p w:rsidR="0048189B" w:rsidRPr="004C2943" w:rsidRDefault="0048189B" w:rsidP="0048189B">
      <w:pPr>
        <w:rPr>
          <w:rFonts w:ascii="仿宋" w:eastAsia="仿宋" w:hAnsi="仿宋" w:cs="仿宋"/>
          <w:sz w:val="32"/>
          <w:szCs w:val="32"/>
        </w:rPr>
      </w:pPr>
    </w:p>
    <w:p w:rsidR="001D1FD6" w:rsidRPr="004C2943" w:rsidRDefault="001D1FD6" w:rsidP="0048189B">
      <w:pPr>
        <w:rPr>
          <w:rFonts w:ascii="仿宋" w:eastAsia="仿宋" w:hAnsi="仿宋" w:cs="仿宋"/>
          <w:sz w:val="32"/>
          <w:szCs w:val="32"/>
        </w:rPr>
      </w:pPr>
    </w:p>
    <w:p w:rsidR="001D1FD6" w:rsidRPr="004C2943" w:rsidRDefault="00DE3378" w:rsidP="00DE337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附件：《长春师范大学资产处置申请表》</w:t>
      </w:r>
    </w:p>
    <w:p w:rsidR="001D1FD6" w:rsidRPr="004C2943" w:rsidRDefault="001D1FD6" w:rsidP="0048189B">
      <w:pPr>
        <w:rPr>
          <w:rFonts w:ascii="仿宋" w:eastAsia="仿宋" w:hAnsi="仿宋" w:cs="仿宋"/>
          <w:sz w:val="32"/>
          <w:szCs w:val="32"/>
        </w:rPr>
      </w:pPr>
    </w:p>
    <w:p w:rsidR="001D1FD6" w:rsidRDefault="001D1FD6" w:rsidP="0048189B">
      <w:pPr>
        <w:rPr>
          <w:rFonts w:ascii="仿宋" w:eastAsia="仿宋" w:hAnsi="仿宋" w:cs="仿宋"/>
          <w:sz w:val="32"/>
          <w:szCs w:val="32"/>
        </w:rPr>
      </w:pPr>
    </w:p>
    <w:p w:rsidR="00DD032E" w:rsidRDefault="00DD032E" w:rsidP="0048189B">
      <w:pPr>
        <w:rPr>
          <w:rFonts w:ascii="仿宋" w:eastAsia="仿宋" w:hAnsi="仿宋" w:cs="仿宋"/>
          <w:sz w:val="32"/>
          <w:szCs w:val="32"/>
        </w:rPr>
      </w:pPr>
    </w:p>
    <w:p w:rsidR="001D1FD6" w:rsidRPr="004C2943" w:rsidRDefault="001D1FD6" w:rsidP="0048189B">
      <w:pPr>
        <w:rPr>
          <w:rFonts w:ascii="仿宋" w:eastAsia="仿宋" w:hAnsi="仿宋" w:cs="仿宋"/>
          <w:sz w:val="32"/>
          <w:szCs w:val="32"/>
        </w:rPr>
      </w:pPr>
    </w:p>
    <w:p w:rsidR="0048189B" w:rsidRPr="004C2943" w:rsidRDefault="0048189B" w:rsidP="000D4BB5">
      <w:pPr>
        <w:ind w:firstLineChars="1900" w:firstLine="608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资产与实验室管理处</w:t>
      </w:r>
    </w:p>
    <w:p w:rsidR="0048189B" w:rsidRPr="004C2943" w:rsidRDefault="0048189B" w:rsidP="00FA3011">
      <w:pPr>
        <w:ind w:firstLineChars="2000" w:firstLine="6400"/>
        <w:rPr>
          <w:rFonts w:ascii="仿宋" w:eastAsia="仿宋" w:hAnsi="仿宋" w:cs="仿宋"/>
          <w:sz w:val="32"/>
          <w:szCs w:val="32"/>
        </w:rPr>
      </w:pPr>
      <w:r w:rsidRPr="004C2943">
        <w:rPr>
          <w:rFonts w:ascii="仿宋" w:eastAsia="仿宋" w:hAnsi="仿宋" w:cs="仿宋" w:hint="eastAsia"/>
          <w:sz w:val="32"/>
          <w:szCs w:val="32"/>
        </w:rPr>
        <w:t>2023年3月</w:t>
      </w:r>
      <w:r w:rsidR="00FA3011" w:rsidRPr="004C2943">
        <w:rPr>
          <w:rFonts w:ascii="仿宋" w:eastAsia="仿宋" w:hAnsi="仿宋" w:cs="仿宋"/>
          <w:sz w:val="32"/>
          <w:szCs w:val="32"/>
        </w:rPr>
        <w:t>1</w:t>
      </w:r>
      <w:r w:rsidR="00DD032E">
        <w:rPr>
          <w:rFonts w:ascii="仿宋" w:eastAsia="仿宋" w:hAnsi="仿宋" w:cs="仿宋"/>
          <w:sz w:val="32"/>
          <w:szCs w:val="32"/>
        </w:rPr>
        <w:t>7</w:t>
      </w:r>
      <w:r w:rsidRPr="004C2943">
        <w:rPr>
          <w:rFonts w:ascii="仿宋" w:eastAsia="仿宋" w:hAnsi="仿宋" w:cs="仿宋" w:hint="eastAsia"/>
          <w:sz w:val="32"/>
          <w:szCs w:val="32"/>
        </w:rPr>
        <w:t>日</w:t>
      </w:r>
    </w:p>
    <w:p w:rsidR="009F39FB" w:rsidRPr="004C2943" w:rsidRDefault="00CE2726" w:rsidP="00CE2726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4C2943"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长春师范大学资产处置申请表</w:t>
      </w:r>
    </w:p>
    <w:p w:rsidR="00CE2726" w:rsidRPr="004C2943" w:rsidRDefault="00CE2726">
      <w:pPr>
        <w:rPr>
          <w:rFonts w:ascii="宋体" w:hAnsi="宋体" w:cs="宋体"/>
          <w:kern w:val="0"/>
          <w:sz w:val="20"/>
          <w:szCs w:val="20"/>
        </w:rPr>
      </w:pPr>
      <w:r w:rsidRPr="004C2943">
        <w:rPr>
          <w:rFonts w:ascii="宋体" w:hAnsi="宋体" w:cs="宋体" w:hint="eastAsia"/>
          <w:kern w:val="0"/>
          <w:sz w:val="20"/>
          <w:szCs w:val="20"/>
        </w:rPr>
        <w:t xml:space="preserve">申请单位（公章）： </w:t>
      </w:r>
      <w:r w:rsidRPr="004C2943">
        <w:rPr>
          <w:rFonts w:ascii="宋体" w:hAnsi="宋体" w:cs="宋体"/>
          <w:kern w:val="0"/>
          <w:sz w:val="20"/>
          <w:szCs w:val="20"/>
        </w:rPr>
        <w:t xml:space="preserve">                          </w:t>
      </w:r>
      <w:r w:rsidRPr="004C2943">
        <w:rPr>
          <w:rFonts w:ascii="宋体" w:hAnsi="宋体" w:cs="宋体" w:hint="eastAsia"/>
          <w:kern w:val="0"/>
          <w:sz w:val="20"/>
          <w:szCs w:val="20"/>
        </w:rPr>
        <w:t xml:space="preserve">申请时间： </w:t>
      </w:r>
      <w:r w:rsidRPr="004C2943">
        <w:rPr>
          <w:rFonts w:ascii="宋体" w:hAnsi="宋体" w:cs="宋体"/>
          <w:kern w:val="0"/>
          <w:sz w:val="20"/>
          <w:szCs w:val="20"/>
        </w:rPr>
        <w:t xml:space="preserve">   </w:t>
      </w:r>
      <w:r w:rsidRPr="004C2943">
        <w:rPr>
          <w:rFonts w:ascii="宋体" w:hAnsi="宋体" w:cs="宋体" w:hint="eastAsia"/>
          <w:kern w:val="0"/>
          <w:sz w:val="20"/>
          <w:szCs w:val="20"/>
        </w:rPr>
        <w:t xml:space="preserve">年 </w:t>
      </w:r>
      <w:r w:rsidRPr="004C2943">
        <w:rPr>
          <w:rFonts w:ascii="宋体" w:hAnsi="宋体" w:cs="宋体"/>
          <w:kern w:val="0"/>
          <w:sz w:val="20"/>
          <w:szCs w:val="20"/>
        </w:rPr>
        <w:t xml:space="preserve">    </w:t>
      </w:r>
      <w:r w:rsidRPr="004C2943">
        <w:rPr>
          <w:rFonts w:ascii="宋体" w:hAnsi="宋体" w:cs="宋体" w:hint="eastAsia"/>
          <w:kern w:val="0"/>
          <w:sz w:val="20"/>
          <w:szCs w:val="20"/>
        </w:rPr>
        <w:t xml:space="preserve">月 </w:t>
      </w:r>
      <w:r w:rsidRPr="004C2943">
        <w:rPr>
          <w:rFonts w:ascii="宋体" w:hAnsi="宋体" w:cs="宋体"/>
          <w:kern w:val="0"/>
          <w:sz w:val="20"/>
          <w:szCs w:val="20"/>
        </w:rPr>
        <w:t xml:space="preserve">   </w:t>
      </w:r>
      <w:r w:rsidRPr="004C2943">
        <w:rPr>
          <w:rFonts w:ascii="宋体" w:hAnsi="宋体" w:cs="宋体" w:hint="eastAsia"/>
          <w:kern w:val="0"/>
          <w:sz w:val="20"/>
          <w:szCs w:val="20"/>
        </w:rPr>
        <w:t>日</w:t>
      </w:r>
    </w:p>
    <w:p w:rsidR="00CE2726" w:rsidRPr="004C2943" w:rsidRDefault="00CE2726" w:rsidP="00CE2726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C2943">
        <w:rPr>
          <w:rFonts w:ascii="宋体" w:hAnsi="宋体" w:cs="宋体" w:hint="eastAsia"/>
          <w:kern w:val="0"/>
          <w:sz w:val="20"/>
          <w:szCs w:val="20"/>
        </w:rPr>
        <w:t xml:space="preserve">联 </w:t>
      </w:r>
      <w:r w:rsidRPr="004C2943">
        <w:rPr>
          <w:rFonts w:ascii="宋体" w:hAnsi="宋体" w:cs="宋体"/>
          <w:kern w:val="0"/>
          <w:sz w:val="20"/>
          <w:szCs w:val="20"/>
        </w:rPr>
        <w:t xml:space="preserve">  </w:t>
      </w:r>
      <w:r w:rsidRPr="004C2943">
        <w:rPr>
          <w:rFonts w:ascii="宋体" w:hAnsi="宋体" w:cs="宋体" w:hint="eastAsia"/>
          <w:kern w:val="0"/>
          <w:sz w:val="20"/>
          <w:szCs w:val="20"/>
        </w:rPr>
        <w:t xml:space="preserve">系 </w:t>
      </w:r>
      <w:r w:rsidRPr="004C2943">
        <w:rPr>
          <w:rFonts w:ascii="宋体" w:hAnsi="宋体" w:cs="宋体"/>
          <w:kern w:val="0"/>
          <w:sz w:val="20"/>
          <w:szCs w:val="20"/>
        </w:rPr>
        <w:t xml:space="preserve">  </w:t>
      </w:r>
      <w:r w:rsidRPr="004C2943">
        <w:rPr>
          <w:rFonts w:ascii="宋体" w:hAnsi="宋体" w:cs="宋体" w:hint="eastAsia"/>
          <w:kern w:val="0"/>
          <w:sz w:val="20"/>
          <w:szCs w:val="20"/>
        </w:rPr>
        <w:t xml:space="preserve">人： </w:t>
      </w:r>
      <w:r w:rsidRPr="004C2943">
        <w:rPr>
          <w:rFonts w:ascii="宋体" w:hAnsi="宋体" w:cs="宋体"/>
          <w:kern w:val="0"/>
          <w:sz w:val="20"/>
          <w:szCs w:val="20"/>
        </w:rPr>
        <w:t xml:space="preserve">                          </w:t>
      </w:r>
      <w:r w:rsidRPr="004C2943">
        <w:rPr>
          <w:rFonts w:ascii="宋体" w:hAnsi="宋体" w:cs="宋体" w:hint="eastAsia"/>
          <w:kern w:val="0"/>
          <w:sz w:val="20"/>
          <w:szCs w:val="20"/>
        </w:rPr>
        <w:t>联系电话：</w:t>
      </w:r>
    </w:p>
    <w:tbl>
      <w:tblPr>
        <w:tblW w:w="10097" w:type="dxa"/>
        <w:jc w:val="center"/>
        <w:tblLook w:val="04A0" w:firstRow="1" w:lastRow="0" w:firstColumn="1" w:lastColumn="0" w:noHBand="0" w:noVBand="1"/>
      </w:tblPr>
      <w:tblGrid>
        <w:gridCol w:w="1104"/>
        <w:gridCol w:w="1177"/>
        <w:gridCol w:w="1351"/>
        <w:gridCol w:w="1201"/>
        <w:gridCol w:w="1344"/>
        <w:gridCol w:w="1218"/>
        <w:gridCol w:w="1285"/>
        <w:gridCol w:w="1417"/>
      </w:tblGrid>
      <w:tr w:rsidR="004C2943" w:rsidRPr="004C2943" w:rsidTr="00040F0E">
        <w:trPr>
          <w:trHeight w:val="390"/>
          <w:jc w:val="center"/>
        </w:trPr>
        <w:tc>
          <w:tcPr>
            <w:tcW w:w="10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2726" w:rsidRPr="004C2943" w:rsidRDefault="00CE2726" w:rsidP="00CE27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C294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资产清单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26" w:rsidRPr="004C2943" w:rsidRDefault="00CE2726" w:rsidP="00040F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C294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26" w:rsidRPr="004C2943" w:rsidRDefault="00CE2726" w:rsidP="00040F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C294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26" w:rsidRPr="004C2943" w:rsidRDefault="00CE2726" w:rsidP="00040F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C294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26" w:rsidRPr="004C2943" w:rsidRDefault="00CE2726" w:rsidP="00040F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C294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26" w:rsidRPr="004C2943" w:rsidRDefault="00CE2726" w:rsidP="00040F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C294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26" w:rsidRPr="004C2943" w:rsidRDefault="00CE2726" w:rsidP="00040F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C294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领用人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26" w:rsidRPr="004C2943" w:rsidRDefault="00CE2726" w:rsidP="00040F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C294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购置日期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E3391C" w:rsidP="00040F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C294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1833A9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A9" w:rsidRPr="004C2943" w:rsidRDefault="001833A9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1833A9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1833A9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1833A9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1833A9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1833A9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26" w:rsidRPr="004C2943" w:rsidRDefault="001833A9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1833A9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1833A9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1833A9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1833A9" w:rsidP="001833A9">
            <w:pPr>
              <w:widowControl/>
              <w:ind w:right="800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26" w:rsidRPr="004C2943" w:rsidRDefault="001833A9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726" w:rsidRPr="004C2943" w:rsidRDefault="001833A9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4C294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100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2726" w:rsidRPr="004C2943" w:rsidRDefault="00CE2726" w:rsidP="00040F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处置原因</w:t>
            </w:r>
          </w:p>
        </w:tc>
      </w:tr>
      <w:tr w:rsidR="004C2943" w:rsidRPr="004C2943" w:rsidTr="00040F0E">
        <w:trPr>
          <w:trHeight w:val="1596"/>
          <w:jc w:val="center"/>
        </w:trPr>
        <w:tc>
          <w:tcPr>
            <w:tcW w:w="100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2726" w:rsidRPr="004C2943" w:rsidRDefault="00CE2726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4C2943" w:rsidRPr="004C2943" w:rsidTr="00040F0E">
        <w:trPr>
          <w:trHeight w:val="390"/>
          <w:jc w:val="center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E" w:rsidRPr="004C2943" w:rsidRDefault="00CE2726" w:rsidP="00040F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申请部门</w:t>
            </w:r>
          </w:p>
          <w:p w:rsidR="00CE2726" w:rsidRPr="004C2943" w:rsidRDefault="00CE2726" w:rsidP="00040F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报废鉴定小组意见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F0E" w:rsidRPr="004C2943" w:rsidRDefault="00CE2726" w:rsidP="00040F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申请部门</w:t>
            </w:r>
          </w:p>
          <w:p w:rsidR="00CE2726" w:rsidRPr="004C2943" w:rsidRDefault="00CE2726" w:rsidP="00040F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F0E" w:rsidRPr="004C2943" w:rsidRDefault="00CE2726" w:rsidP="00040F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职能部门</w:t>
            </w:r>
          </w:p>
          <w:p w:rsidR="00CE2726" w:rsidRPr="004C2943" w:rsidRDefault="00CE2726" w:rsidP="00040F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F0E" w:rsidRPr="004C2943" w:rsidRDefault="00CE2726" w:rsidP="00040F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职能部门</w:t>
            </w:r>
          </w:p>
          <w:p w:rsidR="00CE2726" w:rsidRPr="004C2943" w:rsidRDefault="00CE2726" w:rsidP="00040F0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分管校领导意见</w:t>
            </w:r>
          </w:p>
        </w:tc>
      </w:tr>
      <w:tr w:rsidR="004C2943" w:rsidRPr="004C2943" w:rsidTr="001833A9">
        <w:trPr>
          <w:trHeight w:val="1911"/>
          <w:jc w:val="center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E" w:rsidRPr="004C2943" w:rsidRDefault="00040F0E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签字：</w:t>
            </w:r>
          </w:p>
          <w:p w:rsidR="00040F0E" w:rsidRPr="004C2943" w:rsidRDefault="00040F0E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040F0E" w:rsidRPr="004C2943" w:rsidRDefault="00040F0E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签字：</w:t>
            </w:r>
          </w:p>
          <w:p w:rsidR="00040F0E" w:rsidRPr="004C2943" w:rsidRDefault="00040F0E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040F0E" w:rsidRPr="004C2943" w:rsidRDefault="00040F0E" w:rsidP="00040F0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签字：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F0E" w:rsidRPr="004C2943" w:rsidRDefault="00040F0E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F0E" w:rsidRPr="004C2943" w:rsidRDefault="00040F0E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F0E" w:rsidRPr="004C2943" w:rsidRDefault="00040F0E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040F0E" w:rsidRPr="004C2943" w:rsidTr="00040F0E">
        <w:trPr>
          <w:trHeight w:val="390"/>
          <w:jc w:val="center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E" w:rsidRPr="004C2943" w:rsidRDefault="00E3391C" w:rsidP="00F2200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78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F0E" w:rsidRPr="004C2943" w:rsidRDefault="00040F0E" w:rsidP="00040F0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C294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</w:tbl>
    <w:p w:rsidR="00CE2726" w:rsidRPr="004C2943" w:rsidRDefault="00CE2726" w:rsidP="00040F0E">
      <w:pPr>
        <w:rPr>
          <w:rFonts w:ascii="仿宋" w:eastAsia="仿宋" w:hAnsi="仿宋" w:cs="仿宋"/>
          <w:sz w:val="32"/>
          <w:szCs w:val="32"/>
        </w:rPr>
      </w:pPr>
    </w:p>
    <w:sectPr w:rsidR="00CE2726" w:rsidRPr="004C2943" w:rsidSect="00BE5C1F">
      <w:footerReference w:type="default" r:id="rId6"/>
      <w:pgSz w:w="11906" w:h="16838" w:code="9"/>
      <w:pgMar w:top="1247" w:right="1247" w:bottom="1247" w:left="124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A0" w:rsidRDefault="00810BA0">
      <w:r>
        <w:separator/>
      </w:r>
    </w:p>
  </w:endnote>
  <w:endnote w:type="continuationSeparator" w:id="0">
    <w:p w:rsidR="00810BA0" w:rsidRDefault="0081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3F" w:rsidRDefault="00DC5C3F">
    <w:pPr>
      <w:spacing w:before="1" w:line="181" w:lineRule="auto"/>
      <w:ind w:right="398"/>
      <w:jc w:val="right"/>
      <w:rPr>
        <w:rFonts w:ascii="宋体" w:hAnsi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A0" w:rsidRDefault="00810BA0">
      <w:r>
        <w:separator/>
      </w:r>
    </w:p>
  </w:footnote>
  <w:footnote w:type="continuationSeparator" w:id="0">
    <w:p w:rsidR="00810BA0" w:rsidRDefault="0081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YTY0NDhkZmVhM2Y1MDQzODUwMWU2N2MzYWFjNDIifQ=="/>
  </w:docVars>
  <w:rsids>
    <w:rsidRoot w:val="00D337D0"/>
    <w:rsid w:val="00003DF4"/>
    <w:rsid w:val="00040F0E"/>
    <w:rsid w:val="0005616E"/>
    <w:rsid w:val="000569E2"/>
    <w:rsid w:val="0006405E"/>
    <w:rsid w:val="00067C16"/>
    <w:rsid w:val="00072103"/>
    <w:rsid w:val="00074DC4"/>
    <w:rsid w:val="000A5FAE"/>
    <w:rsid w:val="000C3548"/>
    <w:rsid w:val="000D4BB5"/>
    <w:rsid w:val="000E46C9"/>
    <w:rsid w:val="000F1CE7"/>
    <w:rsid w:val="000F7897"/>
    <w:rsid w:val="001142D5"/>
    <w:rsid w:val="00122812"/>
    <w:rsid w:val="001360D9"/>
    <w:rsid w:val="00136AE5"/>
    <w:rsid w:val="001470DB"/>
    <w:rsid w:val="001471F2"/>
    <w:rsid w:val="00155A85"/>
    <w:rsid w:val="001678BF"/>
    <w:rsid w:val="001833A9"/>
    <w:rsid w:val="001970F4"/>
    <w:rsid w:val="001A014B"/>
    <w:rsid w:val="001A0BB3"/>
    <w:rsid w:val="001A16FC"/>
    <w:rsid w:val="001B2BB5"/>
    <w:rsid w:val="001B30A7"/>
    <w:rsid w:val="001B7368"/>
    <w:rsid w:val="001C096C"/>
    <w:rsid w:val="001D05B9"/>
    <w:rsid w:val="001D143D"/>
    <w:rsid w:val="001D1FD6"/>
    <w:rsid w:val="001E4605"/>
    <w:rsid w:val="001F04D8"/>
    <w:rsid w:val="001F1780"/>
    <w:rsid w:val="001F64DF"/>
    <w:rsid w:val="00222C7C"/>
    <w:rsid w:val="00240C19"/>
    <w:rsid w:val="00256BFC"/>
    <w:rsid w:val="0026789C"/>
    <w:rsid w:val="002768B2"/>
    <w:rsid w:val="00281C4B"/>
    <w:rsid w:val="0029000D"/>
    <w:rsid w:val="00295C3E"/>
    <w:rsid w:val="00297E5B"/>
    <w:rsid w:val="002A658C"/>
    <w:rsid w:val="002A6D3F"/>
    <w:rsid w:val="002B261D"/>
    <w:rsid w:val="002B63EF"/>
    <w:rsid w:val="002D06EE"/>
    <w:rsid w:val="002D1703"/>
    <w:rsid w:val="002E407D"/>
    <w:rsid w:val="002E4333"/>
    <w:rsid w:val="002E5A7F"/>
    <w:rsid w:val="002F7A3F"/>
    <w:rsid w:val="003070A0"/>
    <w:rsid w:val="003241B6"/>
    <w:rsid w:val="00325EDF"/>
    <w:rsid w:val="00330F43"/>
    <w:rsid w:val="00354EB8"/>
    <w:rsid w:val="00360DCB"/>
    <w:rsid w:val="00365CB2"/>
    <w:rsid w:val="0039406B"/>
    <w:rsid w:val="003A0BAB"/>
    <w:rsid w:val="003A3830"/>
    <w:rsid w:val="003C045D"/>
    <w:rsid w:val="003C5859"/>
    <w:rsid w:val="003C734E"/>
    <w:rsid w:val="003E65F4"/>
    <w:rsid w:val="004355DB"/>
    <w:rsid w:val="004510B0"/>
    <w:rsid w:val="00462346"/>
    <w:rsid w:val="004647D2"/>
    <w:rsid w:val="00472048"/>
    <w:rsid w:val="0047538E"/>
    <w:rsid w:val="0047724F"/>
    <w:rsid w:val="004775E6"/>
    <w:rsid w:val="004808EB"/>
    <w:rsid w:val="0048189B"/>
    <w:rsid w:val="00482C67"/>
    <w:rsid w:val="004A0DC9"/>
    <w:rsid w:val="004A22AD"/>
    <w:rsid w:val="004A5150"/>
    <w:rsid w:val="004B2B2D"/>
    <w:rsid w:val="004C2943"/>
    <w:rsid w:val="004E2B1B"/>
    <w:rsid w:val="004E336B"/>
    <w:rsid w:val="00513042"/>
    <w:rsid w:val="00514C02"/>
    <w:rsid w:val="00517260"/>
    <w:rsid w:val="00517FCB"/>
    <w:rsid w:val="005342AB"/>
    <w:rsid w:val="00557489"/>
    <w:rsid w:val="005A045D"/>
    <w:rsid w:val="005A5604"/>
    <w:rsid w:val="005A5FAE"/>
    <w:rsid w:val="005C577E"/>
    <w:rsid w:val="005D4105"/>
    <w:rsid w:val="005D6490"/>
    <w:rsid w:val="005E06E2"/>
    <w:rsid w:val="005E4FB9"/>
    <w:rsid w:val="005E58D9"/>
    <w:rsid w:val="005F72B3"/>
    <w:rsid w:val="00603AB8"/>
    <w:rsid w:val="00640CF5"/>
    <w:rsid w:val="00664D35"/>
    <w:rsid w:val="00682C7F"/>
    <w:rsid w:val="00696F2E"/>
    <w:rsid w:val="006B0657"/>
    <w:rsid w:val="006B24EC"/>
    <w:rsid w:val="006B33E9"/>
    <w:rsid w:val="006B681A"/>
    <w:rsid w:val="006C777C"/>
    <w:rsid w:val="006E4CC8"/>
    <w:rsid w:val="006E5C33"/>
    <w:rsid w:val="006F3269"/>
    <w:rsid w:val="00712A32"/>
    <w:rsid w:val="00713645"/>
    <w:rsid w:val="00717A74"/>
    <w:rsid w:val="00747034"/>
    <w:rsid w:val="00780407"/>
    <w:rsid w:val="007804A4"/>
    <w:rsid w:val="00785885"/>
    <w:rsid w:val="00785D70"/>
    <w:rsid w:val="00787A7A"/>
    <w:rsid w:val="00792EE5"/>
    <w:rsid w:val="007B49CE"/>
    <w:rsid w:val="007B5A1D"/>
    <w:rsid w:val="007C7258"/>
    <w:rsid w:val="007D62DB"/>
    <w:rsid w:val="007E322C"/>
    <w:rsid w:val="00810BA0"/>
    <w:rsid w:val="00816376"/>
    <w:rsid w:val="00820F78"/>
    <w:rsid w:val="008240C1"/>
    <w:rsid w:val="00837E97"/>
    <w:rsid w:val="00837F33"/>
    <w:rsid w:val="00842DF5"/>
    <w:rsid w:val="00851E66"/>
    <w:rsid w:val="008778A2"/>
    <w:rsid w:val="00882D56"/>
    <w:rsid w:val="00893075"/>
    <w:rsid w:val="008C1317"/>
    <w:rsid w:val="008D5A11"/>
    <w:rsid w:val="008E335B"/>
    <w:rsid w:val="008E43D3"/>
    <w:rsid w:val="008E581B"/>
    <w:rsid w:val="009065BB"/>
    <w:rsid w:val="00910C4D"/>
    <w:rsid w:val="00930ECE"/>
    <w:rsid w:val="00945C67"/>
    <w:rsid w:val="00967D4D"/>
    <w:rsid w:val="00975FE0"/>
    <w:rsid w:val="00985AB0"/>
    <w:rsid w:val="009934CA"/>
    <w:rsid w:val="009C04D4"/>
    <w:rsid w:val="009D000C"/>
    <w:rsid w:val="009D0072"/>
    <w:rsid w:val="009D41D8"/>
    <w:rsid w:val="009D7784"/>
    <w:rsid w:val="009E2576"/>
    <w:rsid w:val="009E412A"/>
    <w:rsid w:val="009E5EC1"/>
    <w:rsid w:val="009F008E"/>
    <w:rsid w:val="009F39FB"/>
    <w:rsid w:val="009F749B"/>
    <w:rsid w:val="00A01CF7"/>
    <w:rsid w:val="00A15D03"/>
    <w:rsid w:val="00A25D81"/>
    <w:rsid w:val="00A30A43"/>
    <w:rsid w:val="00A46817"/>
    <w:rsid w:val="00A54D11"/>
    <w:rsid w:val="00A614AE"/>
    <w:rsid w:val="00A615E0"/>
    <w:rsid w:val="00A73E78"/>
    <w:rsid w:val="00A75A9B"/>
    <w:rsid w:val="00A957F9"/>
    <w:rsid w:val="00A968C6"/>
    <w:rsid w:val="00A96DE4"/>
    <w:rsid w:val="00AC3428"/>
    <w:rsid w:val="00AC657D"/>
    <w:rsid w:val="00AE523D"/>
    <w:rsid w:val="00AF0CD4"/>
    <w:rsid w:val="00B00CBF"/>
    <w:rsid w:val="00B1076E"/>
    <w:rsid w:val="00B14ADB"/>
    <w:rsid w:val="00B16D13"/>
    <w:rsid w:val="00B254B3"/>
    <w:rsid w:val="00B27F84"/>
    <w:rsid w:val="00B35F03"/>
    <w:rsid w:val="00B463AD"/>
    <w:rsid w:val="00B67359"/>
    <w:rsid w:val="00B7096B"/>
    <w:rsid w:val="00B93C0C"/>
    <w:rsid w:val="00B9753E"/>
    <w:rsid w:val="00BA33C2"/>
    <w:rsid w:val="00BB7BB8"/>
    <w:rsid w:val="00BC4577"/>
    <w:rsid w:val="00BD4D99"/>
    <w:rsid w:val="00BE59BD"/>
    <w:rsid w:val="00BE5C1F"/>
    <w:rsid w:val="00BF7EEE"/>
    <w:rsid w:val="00C00917"/>
    <w:rsid w:val="00C05F6F"/>
    <w:rsid w:val="00C40DF3"/>
    <w:rsid w:val="00C45988"/>
    <w:rsid w:val="00C53E70"/>
    <w:rsid w:val="00C72E3B"/>
    <w:rsid w:val="00C73EEA"/>
    <w:rsid w:val="00C75364"/>
    <w:rsid w:val="00C92E1D"/>
    <w:rsid w:val="00C95C4B"/>
    <w:rsid w:val="00CA14B9"/>
    <w:rsid w:val="00CE2726"/>
    <w:rsid w:val="00D0432C"/>
    <w:rsid w:val="00D07C28"/>
    <w:rsid w:val="00D2509A"/>
    <w:rsid w:val="00D26421"/>
    <w:rsid w:val="00D31E75"/>
    <w:rsid w:val="00D337D0"/>
    <w:rsid w:val="00D33AB0"/>
    <w:rsid w:val="00D34481"/>
    <w:rsid w:val="00D35970"/>
    <w:rsid w:val="00D51FD8"/>
    <w:rsid w:val="00D9027A"/>
    <w:rsid w:val="00D908C1"/>
    <w:rsid w:val="00D953EF"/>
    <w:rsid w:val="00D972C0"/>
    <w:rsid w:val="00DB1076"/>
    <w:rsid w:val="00DC29DD"/>
    <w:rsid w:val="00DC5C3F"/>
    <w:rsid w:val="00DD032E"/>
    <w:rsid w:val="00DD28CC"/>
    <w:rsid w:val="00DE3378"/>
    <w:rsid w:val="00E203DB"/>
    <w:rsid w:val="00E2363B"/>
    <w:rsid w:val="00E3391C"/>
    <w:rsid w:val="00E44EF2"/>
    <w:rsid w:val="00E528B7"/>
    <w:rsid w:val="00E549BA"/>
    <w:rsid w:val="00E92BBA"/>
    <w:rsid w:val="00E97BAB"/>
    <w:rsid w:val="00EA192A"/>
    <w:rsid w:val="00ED1C00"/>
    <w:rsid w:val="00EE243D"/>
    <w:rsid w:val="00EF2066"/>
    <w:rsid w:val="00F029F0"/>
    <w:rsid w:val="00F134B4"/>
    <w:rsid w:val="00F148EF"/>
    <w:rsid w:val="00F35046"/>
    <w:rsid w:val="00F47BAD"/>
    <w:rsid w:val="00F510F9"/>
    <w:rsid w:val="00F6242F"/>
    <w:rsid w:val="00F678B1"/>
    <w:rsid w:val="00F77A8E"/>
    <w:rsid w:val="00F824F8"/>
    <w:rsid w:val="00F854D0"/>
    <w:rsid w:val="00F95E18"/>
    <w:rsid w:val="00F966CE"/>
    <w:rsid w:val="00FA3011"/>
    <w:rsid w:val="00FC737C"/>
    <w:rsid w:val="00FD35AF"/>
    <w:rsid w:val="11DF30C9"/>
    <w:rsid w:val="171C122C"/>
    <w:rsid w:val="258C2CE5"/>
    <w:rsid w:val="29C51A77"/>
    <w:rsid w:val="2A026F6E"/>
    <w:rsid w:val="2EEE00F1"/>
    <w:rsid w:val="350633F9"/>
    <w:rsid w:val="382A05EF"/>
    <w:rsid w:val="3EA87603"/>
    <w:rsid w:val="3F8213B4"/>
    <w:rsid w:val="41E7229C"/>
    <w:rsid w:val="4CC33C29"/>
    <w:rsid w:val="4DEF3DB5"/>
    <w:rsid w:val="58621B57"/>
    <w:rsid w:val="5C0F5EF4"/>
    <w:rsid w:val="61715106"/>
    <w:rsid w:val="64326656"/>
    <w:rsid w:val="6C080DBD"/>
    <w:rsid w:val="767E3C3D"/>
    <w:rsid w:val="7F0F1615"/>
    <w:rsid w:val="7F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6F783"/>
  <w15:docId w15:val="{212518B5-7AF7-4B64-9717-DD682A7E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A46817"/>
    <w:pPr>
      <w:ind w:firstLineChars="200" w:firstLine="420"/>
    </w:pPr>
  </w:style>
  <w:style w:type="paragraph" w:styleId="a8">
    <w:name w:val="Balloon Text"/>
    <w:basedOn w:val="a"/>
    <w:link w:val="a9"/>
    <w:rsid w:val="006C777C"/>
    <w:rPr>
      <w:sz w:val="18"/>
      <w:szCs w:val="18"/>
    </w:rPr>
  </w:style>
  <w:style w:type="character" w:customStyle="1" w:styleId="a9">
    <w:name w:val="批注框文本 字符"/>
    <w:basedOn w:val="a0"/>
    <w:link w:val="a8"/>
    <w:rsid w:val="006C77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5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崔贵军</cp:lastModifiedBy>
  <cp:revision>243</cp:revision>
  <cp:lastPrinted>2023-03-16T08:48:00Z</cp:lastPrinted>
  <dcterms:created xsi:type="dcterms:W3CDTF">2022-06-01T01:25:00Z</dcterms:created>
  <dcterms:modified xsi:type="dcterms:W3CDTF">2023-03-17T01:38:00Z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EF8326D8668B4BA1BD9CE958104D2CE6</vt:lpwstr>
  </property>
</Properties>
</file>